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DC" w:rsidRDefault="005B50EA" w:rsidP="005A0CA7">
      <w:pPr>
        <w:autoSpaceDE w:val="0"/>
        <w:autoSpaceDN w:val="0"/>
        <w:adjustRightInd w:val="0"/>
        <w:spacing w:after="0" w:line="240" w:lineRule="auto"/>
        <w:jc w:val="center"/>
        <w:rPr>
          <w:rFonts w:cs="LegacySans-Book"/>
          <w:b/>
          <w:sz w:val="28"/>
          <w:szCs w:val="28"/>
        </w:rPr>
      </w:pPr>
      <w:r>
        <w:rPr>
          <w:rFonts w:cs="LegacySans-Book"/>
          <w:b/>
          <w:noProof/>
          <w:sz w:val="28"/>
          <w:szCs w:val="28"/>
          <w:lang w:eastAsia="en-AU"/>
        </w:rPr>
        <w:drawing>
          <wp:inline distT="0" distB="0" distL="0" distR="0">
            <wp:extent cx="3818255" cy="1506855"/>
            <wp:effectExtent l="19050" t="0" r="0" b="0"/>
            <wp:docPr id="1" name="Picture 1" descr="GTA_logo_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A_logo_byline.jpg"/>
                    <pic:cNvPicPr>
                      <a:picLocks noChangeAspect="1" noChangeArrowheads="1"/>
                    </pic:cNvPicPr>
                  </pic:nvPicPr>
                  <pic:blipFill>
                    <a:blip r:embed="rId8"/>
                    <a:srcRect/>
                    <a:stretch>
                      <a:fillRect/>
                    </a:stretch>
                  </pic:blipFill>
                  <pic:spPr bwMode="auto">
                    <a:xfrm>
                      <a:off x="0" y="0"/>
                      <a:ext cx="3818255" cy="1506855"/>
                    </a:xfrm>
                    <a:prstGeom prst="rect">
                      <a:avLst/>
                    </a:prstGeom>
                    <a:noFill/>
                    <a:ln w="9525">
                      <a:noFill/>
                      <a:miter lim="800000"/>
                      <a:headEnd/>
                      <a:tailEnd/>
                    </a:ln>
                  </pic:spPr>
                </pic:pic>
              </a:graphicData>
            </a:graphic>
          </wp:inline>
        </w:drawing>
      </w:r>
    </w:p>
    <w:p w:rsidR="00377CDC" w:rsidRDefault="008E6D9E" w:rsidP="005A0CA7">
      <w:pPr>
        <w:autoSpaceDE w:val="0"/>
        <w:autoSpaceDN w:val="0"/>
        <w:adjustRightInd w:val="0"/>
        <w:spacing w:after="0" w:line="240" w:lineRule="auto"/>
        <w:jc w:val="center"/>
        <w:rPr>
          <w:rFonts w:cs="LegacySans-Book"/>
          <w:b/>
          <w:sz w:val="28"/>
          <w:szCs w:val="28"/>
        </w:rPr>
      </w:pPr>
      <w:r>
        <w:rPr>
          <w:noProof/>
          <w:lang w:eastAsia="en-AU"/>
        </w:rPr>
        <w:pict>
          <v:shapetype id="_x0000_t32" coordsize="21600,21600" o:spt="32" o:oned="t" path="m,l21600,21600e" filled="f">
            <v:path arrowok="t" fillok="f" o:connecttype="none"/>
            <o:lock v:ext="edit" shapetype="t"/>
          </v:shapetype>
          <v:shape id="_x0000_s1026" type="#_x0000_t32" style="position:absolute;left:0;text-align:left;margin-left:12.75pt;margin-top:16.25pt;width:428.25pt;height:0;z-index:251660288" o:connectortype="straight"/>
        </w:pict>
      </w:r>
    </w:p>
    <w:p w:rsidR="00377CDC" w:rsidRDefault="00377CDC" w:rsidP="005A0CA7">
      <w:pPr>
        <w:autoSpaceDE w:val="0"/>
        <w:autoSpaceDN w:val="0"/>
        <w:adjustRightInd w:val="0"/>
        <w:spacing w:after="0" w:line="240" w:lineRule="auto"/>
        <w:jc w:val="center"/>
        <w:rPr>
          <w:rFonts w:cs="LegacySans-Book"/>
          <w:b/>
          <w:sz w:val="28"/>
          <w:szCs w:val="28"/>
        </w:rPr>
      </w:pPr>
    </w:p>
    <w:p w:rsidR="00377CDC" w:rsidRDefault="00377CDC" w:rsidP="005A0CA7">
      <w:pPr>
        <w:autoSpaceDE w:val="0"/>
        <w:autoSpaceDN w:val="0"/>
        <w:adjustRightInd w:val="0"/>
        <w:spacing w:after="0" w:line="240" w:lineRule="auto"/>
        <w:jc w:val="center"/>
        <w:rPr>
          <w:rFonts w:cs="LegacySans-Book"/>
          <w:b/>
          <w:sz w:val="28"/>
          <w:szCs w:val="28"/>
        </w:rPr>
      </w:pPr>
      <w:r w:rsidRPr="004E7051">
        <w:rPr>
          <w:rFonts w:cs="LegacySans-Book"/>
          <w:b/>
          <w:sz w:val="28"/>
          <w:szCs w:val="28"/>
        </w:rPr>
        <w:t xml:space="preserve">Group Training – </w:t>
      </w:r>
      <w:r>
        <w:rPr>
          <w:rFonts w:cs="LegacySans-Book"/>
          <w:b/>
          <w:sz w:val="28"/>
          <w:szCs w:val="28"/>
        </w:rPr>
        <w:t xml:space="preserve">a foundation of </w:t>
      </w:r>
      <w:smartTag w:uri="urn:schemas-microsoft-com:office:smarttags" w:element="place">
        <w:smartTag w:uri="urn:schemas-microsoft-com:office:smarttags" w:element="country-region">
          <w:r w:rsidRPr="004E7051">
            <w:rPr>
              <w:rFonts w:cs="LegacySans-Book"/>
              <w:b/>
              <w:sz w:val="28"/>
              <w:szCs w:val="28"/>
            </w:rPr>
            <w:t>Australia</w:t>
          </w:r>
        </w:smartTag>
      </w:smartTag>
      <w:r w:rsidRPr="004E7051">
        <w:rPr>
          <w:rFonts w:cs="LegacySans-Book"/>
          <w:b/>
          <w:sz w:val="28"/>
          <w:szCs w:val="28"/>
        </w:rPr>
        <w:t xml:space="preserve">’s </w:t>
      </w:r>
      <w:r>
        <w:rPr>
          <w:rFonts w:cs="LegacySans-Book"/>
          <w:b/>
          <w:sz w:val="28"/>
          <w:szCs w:val="28"/>
        </w:rPr>
        <w:t>skills architecture</w:t>
      </w:r>
    </w:p>
    <w:p w:rsidR="00377CDC" w:rsidRDefault="00377CDC" w:rsidP="005A0CA7">
      <w:pPr>
        <w:autoSpaceDE w:val="0"/>
        <w:autoSpaceDN w:val="0"/>
        <w:adjustRightInd w:val="0"/>
        <w:spacing w:after="0" w:line="240" w:lineRule="auto"/>
        <w:jc w:val="center"/>
        <w:rPr>
          <w:rFonts w:cs="LegacySans-Book"/>
          <w:b/>
          <w:sz w:val="28"/>
          <w:szCs w:val="28"/>
        </w:rPr>
      </w:pPr>
    </w:p>
    <w:p w:rsidR="00377CDC" w:rsidRPr="00986557" w:rsidRDefault="00377CDC" w:rsidP="005A0CA7">
      <w:pPr>
        <w:pStyle w:val="ListParagraph"/>
        <w:numPr>
          <w:ilvl w:val="0"/>
          <w:numId w:val="3"/>
        </w:numPr>
        <w:autoSpaceDE w:val="0"/>
        <w:autoSpaceDN w:val="0"/>
        <w:adjustRightInd w:val="0"/>
        <w:spacing w:after="0" w:line="240" w:lineRule="auto"/>
        <w:rPr>
          <w:rFonts w:cs="LegacySans-Book"/>
          <w:sz w:val="24"/>
          <w:szCs w:val="24"/>
        </w:rPr>
      </w:pPr>
      <w:r w:rsidRPr="00986557">
        <w:rPr>
          <w:rFonts w:cs="LegacySans-Book"/>
          <w:sz w:val="24"/>
          <w:szCs w:val="24"/>
        </w:rPr>
        <w:t>The largest employer network of apprentices and trainees</w:t>
      </w:r>
    </w:p>
    <w:p w:rsidR="00377CDC" w:rsidRPr="00986557" w:rsidRDefault="00377CDC" w:rsidP="005A0CA7">
      <w:pPr>
        <w:pStyle w:val="ListParagraph"/>
        <w:numPr>
          <w:ilvl w:val="0"/>
          <w:numId w:val="3"/>
        </w:numPr>
        <w:autoSpaceDE w:val="0"/>
        <w:autoSpaceDN w:val="0"/>
        <w:adjustRightInd w:val="0"/>
        <w:spacing w:after="0" w:line="240" w:lineRule="auto"/>
        <w:rPr>
          <w:rFonts w:cs="LegacySans-Book"/>
          <w:sz w:val="24"/>
          <w:szCs w:val="24"/>
        </w:rPr>
      </w:pPr>
      <w:r w:rsidRPr="00986557">
        <w:rPr>
          <w:rFonts w:cs="LegacySans-Book"/>
          <w:sz w:val="24"/>
          <w:szCs w:val="24"/>
        </w:rPr>
        <w:t xml:space="preserve">A unique Australian model </w:t>
      </w:r>
    </w:p>
    <w:p w:rsidR="00377CDC" w:rsidRPr="00986557" w:rsidRDefault="00377CDC" w:rsidP="005A0CA7">
      <w:pPr>
        <w:pStyle w:val="ListParagraph"/>
        <w:numPr>
          <w:ilvl w:val="0"/>
          <w:numId w:val="3"/>
        </w:numPr>
        <w:autoSpaceDE w:val="0"/>
        <w:autoSpaceDN w:val="0"/>
        <w:adjustRightInd w:val="0"/>
        <w:spacing w:after="0" w:line="240" w:lineRule="auto"/>
        <w:rPr>
          <w:rFonts w:cs="LegacySans-Book"/>
          <w:sz w:val="24"/>
          <w:szCs w:val="24"/>
        </w:rPr>
      </w:pPr>
      <w:r>
        <w:rPr>
          <w:rFonts w:cs="LegacySans-Book"/>
          <w:sz w:val="24"/>
          <w:szCs w:val="24"/>
        </w:rPr>
        <w:t xml:space="preserve">A </w:t>
      </w:r>
      <w:r w:rsidRPr="00986557">
        <w:rPr>
          <w:rFonts w:cs="LegacySans-Book"/>
          <w:sz w:val="24"/>
          <w:szCs w:val="24"/>
        </w:rPr>
        <w:t>30-year record of achievement</w:t>
      </w:r>
    </w:p>
    <w:p w:rsidR="00377CDC" w:rsidRDefault="00377CDC" w:rsidP="005A0CA7">
      <w:pPr>
        <w:autoSpaceDE w:val="0"/>
        <w:autoSpaceDN w:val="0"/>
        <w:adjustRightInd w:val="0"/>
        <w:spacing w:after="0" w:line="240" w:lineRule="auto"/>
        <w:rPr>
          <w:rFonts w:cs="LegacySans-Book"/>
          <w:b/>
          <w:sz w:val="24"/>
          <w:szCs w:val="24"/>
        </w:rPr>
      </w:pPr>
    </w:p>
    <w:p w:rsidR="00377CDC" w:rsidRPr="00986557" w:rsidRDefault="00377CDC" w:rsidP="005A0CA7">
      <w:pPr>
        <w:autoSpaceDE w:val="0"/>
        <w:autoSpaceDN w:val="0"/>
        <w:adjustRightInd w:val="0"/>
        <w:spacing w:after="0" w:line="240" w:lineRule="auto"/>
        <w:rPr>
          <w:rFonts w:cs="LegacySans-Book"/>
          <w:sz w:val="24"/>
          <w:szCs w:val="24"/>
        </w:rPr>
      </w:pPr>
      <w:r w:rsidRPr="00986557">
        <w:rPr>
          <w:rFonts w:cs="LegacySans-Book"/>
          <w:b/>
          <w:sz w:val="24"/>
          <w:szCs w:val="24"/>
        </w:rPr>
        <w:t xml:space="preserve">A national footprint - </w:t>
      </w:r>
      <w:r w:rsidRPr="00986557">
        <w:rPr>
          <w:rFonts w:cs="LegacySans-Book"/>
          <w:sz w:val="24"/>
          <w:szCs w:val="24"/>
        </w:rPr>
        <w:t>a total of 150 group training organisations (GTOs)</w:t>
      </w:r>
      <w:r>
        <w:rPr>
          <w:rFonts w:cs="LegacySans-Book"/>
          <w:sz w:val="24"/>
          <w:szCs w:val="24"/>
        </w:rPr>
        <w:t>, the overwhelming majority being not-for-profit,</w:t>
      </w:r>
      <w:r w:rsidRPr="00986557">
        <w:rPr>
          <w:rFonts w:cs="LegacySans-Book"/>
          <w:sz w:val="24"/>
          <w:szCs w:val="24"/>
        </w:rPr>
        <w:t xml:space="preserve"> operate across Australia as</w:t>
      </w:r>
      <w:r>
        <w:rPr>
          <w:rFonts w:cs="LegacySans-Book"/>
          <w:sz w:val="24"/>
          <w:szCs w:val="24"/>
        </w:rPr>
        <w:t xml:space="preserve"> employment</w:t>
      </w:r>
      <w:r w:rsidRPr="00986557">
        <w:rPr>
          <w:rFonts w:cs="LegacySans-Book"/>
          <w:sz w:val="24"/>
          <w:szCs w:val="24"/>
        </w:rPr>
        <w:t xml:space="preserve"> intermediaries, linking training, employers and employees through 2,000 skilled staff, and relationships with up to 100,000 </w:t>
      </w:r>
      <w:r>
        <w:rPr>
          <w:rFonts w:cs="LegacySans-Book"/>
          <w:sz w:val="24"/>
          <w:szCs w:val="24"/>
        </w:rPr>
        <w:t xml:space="preserve">host </w:t>
      </w:r>
      <w:r w:rsidRPr="00986557">
        <w:rPr>
          <w:rFonts w:cs="LegacySans-Book"/>
          <w:sz w:val="24"/>
          <w:szCs w:val="24"/>
        </w:rPr>
        <w:t>employers and 35,000 apprentices and trainees.</w:t>
      </w:r>
    </w:p>
    <w:p w:rsidR="00377CDC" w:rsidRDefault="00377CDC" w:rsidP="005A0CA7">
      <w:pPr>
        <w:autoSpaceDE w:val="0"/>
        <w:autoSpaceDN w:val="0"/>
        <w:adjustRightInd w:val="0"/>
        <w:spacing w:after="0" w:line="240" w:lineRule="auto"/>
        <w:rPr>
          <w:rFonts w:cs="LegacySans-Book"/>
          <w:b/>
          <w:sz w:val="24"/>
          <w:szCs w:val="24"/>
        </w:rPr>
      </w:pPr>
    </w:p>
    <w:p w:rsidR="00377CDC" w:rsidRPr="00986557" w:rsidRDefault="00377CDC" w:rsidP="005A0CA7">
      <w:pPr>
        <w:autoSpaceDE w:val="0"/>
        <w:autoSpaceDN w:val="0"/>
        <w:adjustRightInd w:val="0"/>
        <w:spacing w:after="0" w:line="240" w:lineRule="auto"/>
        <w:rPr>
          <w:rFonts w:cs="LegacySans-Book"/>
          <w:sz w:val="24"/>
          <w:szCs w:val="24"/>
        </w:rPr>
      </w:pPr>
      <w:r w:rsidRPr="00986557">
        <w:rPr>
          <w:rFonts w:cs="LegacySans-Book"/>
          <w:b/>
          <w:sz w:val="24"/>
          <w:szCs w:val="24"/>
        </w:rPr>
        <w:t xml:space="preserve">Market significance - </w:t>
      </w:r>
      <w:r w:rsidRPr="00986557">
        <w:rPr>
          <w:rFonts w:cs="LegacySans-Book"/>
          <w:sz w:val="24"/>
          <w:szCs w:val="24"/>
        </w:rPr>
        <w:t xml:space="preserve">more than 12% of apprentice commencements are with a GTO; more than 13% of those </w:t>
      </w:r>
      <w:r>
        <w:rPr>
          <w:rFonts w:cs="LegacySans-Book"/>
          <w:sz w:val="24"/>
          <w:szCs w:val="24"/>
        </w:rPr>
        <w:t>‘i</w:t>
      </w:r>
      <w:r w:rsidRPr="00986557">
        <w:rPr>
          <w:rFonts w:cs="LegacySans-Book"/>
          <w:sz w:val="24"/>
          <w:szCs w:val="24"/>
        </w:rPr>
        <w:t>n-training</w:t>
      </w:r>
      <w:r>
        <w:rPr>
          <w:rFonts w:cs="LegacySans-Book"/>
          <w:sz w:val="24"/>
          <w:szCs w:val="24"/>
        </w:rPr>
        <w:t>’</w:t>
      </w:r>
      <w:r w:rsidRPr="00986557">
        <w:rPr>
          <w:rFonts w:cs="LegacySans-Book"/>
          <w:sz w:val="24"/>
          <w:szCs w:val="24"/>
        </w:rPr>
        <w:t xml:space="preserve"> are with a GTO; and more than 15% of apprentice completions are with a GTO.  In some states the figures are much higher.</w:t>
      </w:r>
    </w:p>
    <w:p w:rsidR="00377CDC" w:rsidRDefault="00377CDC" w:rsidP="005A0CA7">
      <w:pPr>
        <w:autoSpaceDE w:val="0"/>
        <w:autoSpaceDN w:val="0"/>
        <w:adjustRightInd w:val="0"/>
        <w:spacing w:after="0" w:line="240" w:lineRule="auto"/>
        <w:rPr>
          <w:rFonts w:cs="LegacySans-Book"/>
          <w:b/>
          <w:sz w:val="24"/>
          <w:szCs w:val="24"/>
        </w:rPr>
      </w:pPr>
    </w:p>
    <w:p w:rsidR="00377CDC" w:rsidRDefault="00377CDC" w:rsidP="005A0CA7">
      <w:pPr>
        <w:autoSpaceDE w:val="0"/>
        <w:autoSpaceDN w:val="0"/>
        <w:adjustRightInd w:val="0"/>
        <w:spacing w:after="0" w:line="240" w:lineRule="auto"/>
        <w:rPr>
          <w:rFonts w:cs="LegacySans-Book"/>
          <w:sz w:val="24"/>
          <w:szCs w:val="24"/>
        </w:rPr>
      </w:pPr>
      <w:r w:rsidRPr="00986557">
        <w:rPr>
          <w:rFonts w:cs="LegacySans-Book"/>
          <w:b/>
          <w:sz w:val="24"/>
          <w:szCs w:val="24"/>
        </w:rPr>
        <w:t>Supporting skills development</w:t>
      </w:r>
      <w:r w:rsidRPr="00986557">
        <w:rPr>
          <w:rFonts w:cs="LegacySans-Book"/>
          <w:sz w:val="24"/>
          <w:szCs w:val="24"/>
        </w:rPr>
        <w:t xml:space="preserve"> - a key feature of the group training approach is the emphasis on mentoring and support for trainees and apprentices, in order to boost retention</w:t>
      </w:r>
      <w:r>
        <w:rPr>
          <w:rFonts w:cs="LegacySans-Book"/>
          <w:sz w:val="24"/>
          <w:szCs w:val="24"/>
        </w:rPr>
        <w:t xml:space="preserve"> and </w:t>
      </w:r>
      <w:r w:rsidRPr="00986557">
        <w:rPr>
          <w:rFonts w:cs="LegacySans-Book"/>
          <w:sz w:val="24"/>
          <w:szCs w:val="24"/>
        </w:rPr>
        <w:t xml:space="preserve">completion, and </w:t>
      </w:r>
      <w:r>
        <w:rPr>
          <w:rFonts w:cs="LegacySans-Book"/>
          <w:sz w:val="24"/>
          <w:szCs w:val="24"/>
        </w:rPr>
        <w:t xml:space="preserve">to </w:t>
      </w:r>
      <w:r w:rsidRPr="00986557">
        <w:rPr>
          <w:rFonts w:cs="LegacySans-Book"/>
          <w:sz w:val="24"/>
          <w:szCs w:val="24"/>
        </w:rPr>
        <w:t xml:space="preserve">ensure </w:t>
      </w:r>
      <w:r>
        <w:rPr>
          <w:rFonts w:cs="LegacySans-Book"/>
          <w:sz w:val="24"/>
          <w:szCs w:val="24"/>
        </w:rPr>
        <w:t>the best possible</w:t>
      </w:r>
      <w:r w:rsidRPr="00986557">
        <w:rPr>
          <w:rFonts w:cs="LegacySans-Book"/>
          <w:sz w:val="24"/>
          <w:szCs w:val="24"/>
        </w:rPr>
        <w:t xml:space="preserve"> fit with the needs of host employers.</w:t>
      </w:r>
    </w:p>
    <w:p w:rsidR="00377CDC" w:rsidRDefault="00377CDC" w:rsidP="005A0CA7">
      <w:pPr>
        <w:autoSpaceDE w:val="0"/>
        <w:autoSpaceDN w:val="0"/>
        <w:adjustRightInd w:val="0"/>
        <w:spacing w:after="0" w:line="240" w:lineRule="auto"/>
        <w:rPr>
          <w:rFonts w:cs="LegacySans-Book"/>
          <w:b/>
          <w:sz w:val="24"/>
          <w:szCs w:val="24"/>
        </w:rPr>
      </w:pPr>
    </w:p>
    <w:p w:rsidR="00377CDC" w:rsidRPr="00986557" w:rsidRDefault="00377CDC" w:rsidP="005A0CA7">
      <w:pPr>
        <w:autoSpaceDE w:val="0"/>
        <w:autoSpaceDN w:val="0"/>
        <w:adjustRightInd w:val="0"/>
        <w:spacing w:after="0" w:line="240" w:lineRule="auto"/>
        <w:rPr>
          <w:rFonts w:cs="LegacySans-Book"/>
          <w:sz w:val="24"/>
          <w:szCs w:val="24"/>
        </w:rPr>
      </w:pPr>
      <w:r w:rsidRPr="00986557">
        <w:rPr>
          <w:rFonts w:cs="LegacySans-Book"/>
          <w:b/>
          <w:sz w:val="24"/>
          <w:szCs w:val="24"/>
        </w:rPr>
        <w:t xml:space="preserve">Enhancing the supply of apprentices </w:t>
      </w:r>
      <w:r w:rsidRPr="00986557">
        <w:rPr>
          <w:rFonts w:cs="LegacySans-Book"/>
          <w:sz w:val="24"/>
          <w:szCs w:val="24"/>
        </w:rPr>
        <w:t xml:space="preserve">- group training works in partnership with stakeholders including governments, </w:t>
      </w:r>
      <w:r>
        <w:rPr>
          <w:rFonts w:cs="LegacySans-Book"/>
          <w:sz w:val="24"/>
          <w:szCs w:val="24"/>
        </w:rPr>
        <w:t xml:space="preserve">host </w:t>
      </w:r>
      <w:r w:rsidRPr="00986557">
        <w:rPr>
          <w:rFonts w:cs="LegacySans-Book"/>
          <w:sz w:val="24"/>
          <w:szCs w:val="24"/>
        </w:rPr>
        <w:t>employers, schools, and training providers to influence career perceptions, and increase the flow of apprenticeships and traineeships, particularly in skill shortage areas.</w:t>
      </w:r>
    </w:p>
    <w:p w:rsidR="00377CDC" w:rsidRDefault="00377CDC" w:rsidP="005A0CA7">
      <w:pPr>
        <w:autoSpaceDE w:val="0"/>
        <w:autoSpaceDN w:val="0"/>
        <w:adjustRightInd w:val="0"/>
        <w:spacing w:after="0" w:line="240" w:lineRule="auto"/>
        <w:rPr>
          <w:rFonts w:cs="LegacySans-Book"/>
          <w:b/>
          <w:sz w:val="24"/>
          <w:szCs w:val="24"/>
        </w:rPr>
      </w:pPr>
    </w:p>
    <w:p w:rsidR="00377CDC" w:rsidRPr="00CC5FE2" w:rsidRDefault="00377CDC" w:rsidP="005A0CA7">
      <w:pPr>
        <w:autoSpaceDE w:val="0"/>
        <w:autoSpaceDN w:val="0"/>
        <w:adjustRightInd w:val="0"/>
        <w:spacing w:after="0" w:line="240" w:lineRule="auto"/>
        <w:rPr>
          <w:rFonts w:cs="LegacySans-Book"/>
          <w:sz w:val="24"/>
          <w:szCs w:val="24"/>
        </w:rPr>
      </w:pPr>
      <w:r>
        <w:rPr>
          <w:rFonts w:cs="LegacySans-Book"/>
          <w:b/>
          <w:sz w:val="24"/>
          <w:szCs w:val="24"/>
        </w:rPr>
        <w:t xml:space="preserve">Responsive to industry needs </w:t>
      </w:r>
      <w:r w:rsidRPr="00C66AAA">
        <w:rPr>
          <w:rFonts w:cs="LegacySans-Book"/>
          <w:sz w:val="24"/>
          <w:szCs w:val="24"/>
        </w:rPr>
        <w:t xml:space="preserve">- </w:t>
      </w:r>
      <w:r>
        <w:rPr>
          <w:rFonts w:cs="LegacySans-Book"/>
          <w:sz w:val="24"/>
          <w:szCs w:val="24"/>
        </w:rPr>
        <w:t>group training is genuinely demand-driven, responding to the direct needs of industry, and only providing those apprentices and trainees that can be deployed at a given time.</w:t>
      </w:r>
    </w:p>
    <w:p w:rsidR="00377CDC" w:rsidRDefault="00377CDC" w:rsidP="005A0CA7">
      <w:pPr>
        <w:autoSpaceDE w:val="0"/>
        <w:autoSpaceDN w:val="0"/>
        <w:adjustRightInd w:val="0"/>
        <w:spacing w:after="0" w:line="240" w:lineRule="auto"/>
        <w:rPr>
          <w:rFonts w:cs="LegacySans-Book"/>
          <w:b/>
          <w:sz w:val="24"/>
          <w:szCs w:val="24"/>
        </w:rPr>
      </w:pPr>
    </w:p>
    <w:p w:rsidR="00377CDC" w:rsidRDefault="00377CDC" w:rsidP="005A0CA7">
      <w:pPr>
        <w:autoSpaceDE w:val="0"/>
        <w:autoSpaceDN w:val="0"/>
        <w:adjustRightInd w:val="0"/>
        <w:spacing w:after="0" w:line="240" w:lineRule="auto"/>
        <w:rPr>
          <w:sz w:val="24"/>
          <w:szCs w:val="24"/>
        </w:rPr>
      </w:pPr>
      <w:r w:rsidRPr="00986557">
        <w:rPr>
          <w:rFonts w:cs="LegacySans-Book"/>
          <w:b/>
          <w:sz w:val="24"/>
          <w:szCs w:val="24"/>
        </w:rPr>
        <w:t xml:space="preserve">Assisting those disadvantaged and “at-risk” </w:t>
      </w:r>
      <w:r w:rsidRPr="00986557">
        <w:rPr>
          <w:rFonts w:cs="LegacySans-Book"/>
          <w:sz w:val="24"/>
          <w:szCs w:val="24"/>
        </w:rPr>
        <w:t>- g</w:t>
      </w:r>
      <w:r w:rsidRPr="00986557">
        <w:rPr>
          <w:sz w:val="24"/>
          <w:szCs w:val="24"/>
        </w:rPr>
        <w:t xml:space="preserve">roup training delivers on government social and workforce development objectives, working with those in-need across the VET system. It employs: </w:t>
      </w:r>
    </w:p>
    <w:p w:rsidR="00377CDC" w:rsidRPr="00986557" w:rsidRDefault="00377CDC" w:rsidP="005A0CA7">
      <w:pPr>
        <w:numPr>
          <w:ilvl w:val="0"/>
          <w:numId w:val="1"/>
        </w:numPr>
        <w:spacing w:after="0" w:line="240" w:lineRule="auto"/>
        <w:rPr>
          <w:sz w:val="24"/>
          <w:szCs w:val="24"/>
        </w:rPr>
      </w:pPr>
      <w:r w:rsidRPr="00986557">
        <w:rPr>
          <w:sz w:val="24"/>
          <w:szCs w:val="24"/>
        </w:rPr>
        <w:t>one-in-five Indigenous apprentices and trainees</w:t>
      </w:r>
    </w:p>
    <w:p w:rsidR="00377CDC" w:rsidRPr="00986557" w:rsidRDefault="00377CDC" w:rsidP="005A0CA7">
      <w:pPr>
        <w:numPr>
          <w:ilvl w:val="0"/>
          <w:numId w:val="1"/>
        </w:numPr>
        <w:spacing w:after="0" w:line="240" w:lineRule="auto"/>
        <w:rPr>
          <w:sz w:val="24"/>
          <w:szCs w:val="24"/>
        </w:rPr>
      </w:pPr>
      <w:r w:rsidRPr="00986557">
        <w:rPr>
          <w:sz w:val="24"/>
          <w:szCs w:val="24"/>
        </w:rPr>
        <w:t xml:space="preserve">one-in-five school-based apprentices and trainees; </w:t>
      </w:r>
    </w:p>
    <w:p w:rsidR="00377CDC" w:rsidRDefault="00377CDC" w:rsidP="005A0CA7">
      <w:pPr>
        <w:numPr>
          <w:ilvl w:val="0"/>
          <w:numId w:val="1"/>
        </w:numPr>
        <w:spacing w:after="0" w:line="240" w:lineRule="auto"/>
        <w:rPr>
          <w:sz w:val="24"/>
          <w:szCs w:val="24"/>
        </w:rPr>
      </w:pPr>
      <w:r w:rsidRPr="00986557">
        <w:rPr>
          <w:sz w:val="24"/>
          <w:szCs w:val="24"/>
        </w:rPr>
        <w:t xml:space="preserve">increasing numbers of adult apprentices and trainees  </w:t>
      </w:r>
    </w:p>
    <w:p w:rsidR="00377CDC" w:rsidRPr="00986557" w:rsidRDefault="00377CDC" w:rsidP="00596689">
      <w:pPr>
        <w:spacing w:after="0" w:line="240" w:lineRule="auto"/>
        <w:rPr>
          <w:sz w:val="24"/>
          <w:szCs w:val="24"/>
        </w:rPr>
      </w:pPr>
    </w:p>
    <w:p w:rsidR="00377CDC" w:rsidRDefault="00377CDC" w:rsidP="005A0CA7">
      <w:pPr>
        <w:autoSpaceDE w:val="0"/>
        <w:autoSpaceDN w:val="0"/>
        <w:adjustRightInd w:val="0"/>
        <w:spacing w:after="0" w:line="240" w:lineRule="auto"/>
        <w:rPr>
          <w:rFonts w:cs="LegacySans-Book"/>
          <w:b/>
          <w:sz w:val="24"/>
          <w:szCs w:val="24"/>
        </w:rPr>
      </w:pPr>
      <w:r w:rsidRPr="00986557">
        <w:rPr>
          <w:rFonts w:cs="LegacySans-Book"/>
          <w:b/>
          <w:sz w:val="24"/>
          <w:szCs w:val="24"/>
        </w:rPr>
        <w:t>A proven place in the VET system</w:t>
      </w:r>
    </w:p>
    <w:p w:rsidR="00377CDC" w:rsidRPr="00986557" w:rsidRDefault="00377CDC" w:rsidP="005A0CA7">
      <w:pPr>
        <w:autoSpaceDE w:val="0"/>
        <w:autoSpaceDN w:val="0"/>
        <w:adjustRightInd w:val="0"/>
        <w:spacing w:after="0" w:line="240" w:lineRule="auto"/>
        <w:rPr>
          <w:rFonts w:cs="LegacySans-Book"/>
          <w:b/>
          <w:sz w:val="24"/>
          <w:szCs w:val="24"/>
        </w:rPr>
      </w:pPr>
    </w:p>
    <w:p w:rsidR="00377CDC" w:rsidRDefault="00377CDC" w:rsidP="005A0CA7">
      <w:pPr>
        <w:autoSpaceDE w:val="0"/>
        <w:autoSpaceDN w:val="0"/>
        <w:adjustRightInd w:val="0"/>
        <w:spacing w:after="0" w:line="240" w:lineRule="auto"/>
        <w:rPr>
          <w:rFonts w:cs="LegacySans-Book"/>
          <w:sz w:val="24"/>
          <w:szCs w:val="24"/>
        </w:rPr>
      </w:pPr>
      <w:r w:rsidRPr="00986557">
        <w:rPr>
          <w:rFonts w:cs="LegacySans-Book"/>
          <w:sz w:val="24"/>
          <w:szCs w:val="24"/>
        </w:rPr>
        <w:t xml:space="preserve">The group training network has evolved into a pillar of </w:t>
      </w:r>
      <w:smartTag w:uri="urn:schemas-microsoft-com:office:smarttags" w:element="place">
        <w:smartTag w:uri="urn:schemas-microsoft-com:office:smarttags" w:element="country-region">
          <w:r w:rsidRPr="00986557">
            <w:rPr>
              <w:rFonts w:cs="LegacySans-Book"/>
              <w:sz w:val="24"/>
              <w:szCs w:val="24"/>
            </w:rPr>
            <w:t>Australia</w:t>
          </w:r>
        </w:smartTag>
      </w:smartTag>
      <w:r w:rsidRPr="00986557">
        <w:rPr>
          <w:rFonts w:cs="LegacySans-Book"/>
          <w:sz w:val="24"/>
          <w:szCs w:val="24"/>
        </w:rPr>
        <w:t>’s VET system, harnessing the collective knowledge and experience of hundreds of skilled professionals, to help guide apprentices and trainees into work and training.</w:t>
      </w:r>
    </w:p>
    <w:p w:rsidR="00377CDC" w:rsidRPr="00986557" w:rsidRDefault="00377CDC" w:rsidP="005A0CA7">
      <w:pPr>
        <w:autoSpaceDE w:val="0"/>
        <w:autoSpaceDN w:val="0"/>
        <w:adjustRightInd w:val="0"/>
        <w:spacing w:after="0" w:line="240" w:lineRule="auto"/>
        <w:rPr>
          <w:rFonts w:cs="LegacySans-Book"/>
          <w:sz w:val="24"/>
          <w:szCs w:val="24"/>
        </w:rPr>
      </w:pPr>
    </w:p>
    <w:p w:rsidR="00377CDC" w:rsidRDefault="00377CDC" w:rsidP="005A0CA7">
      <w:pPr>
        <w:autoSpaceDE w:val="0"/>
        <w:autoSpaceDN w:val="0"/>
        <w:adjustRightInd w:val="0"/>
        <w:spacing w:after="0" w:line="240" w:lineRule="auto"/>
        <w:rPr>
          <w:rFonts w:cs="LegacySans-Book"/>
          <w:sz w:val="24"/>
          <w:szCs w:val="24"/>
        </w:rPr>
      </w:pPr>
      <w:r w:rsidRPr="00986557">
        <w:rPr>
          <w:rFonts w:cs="LegacySans-Book"/>
          <w:sz w:val="24"/>
          <w:szCs w:val="24"/>
        </w:rPr>
        <w:t xml:space="preserve">From its beginnings in </w:t>
      </w:r>
      <w:r>
        <w:rPr>
          <w:rFonts w:cs="LegacySans-Book"/>
          <w:sz w:val="24"/>
          <w:szCs w:val="24"/>
        </w:rPr>
        <w:t xml:space="preserve">the late </w:t>
      </w:r>
      <w:r w:rsidRPr="00986557">
        <w:rPr>
          <w:rFonts w:cs="LegacySans-Book"/>
          <w:sz w:val="24"/>
          <w:szCs w:val="24"/>
        </w:rPr>
        <w:t>19</w:t>
      </w:r>
      <w:r>
        <w:rPr>
          <w:rFonts w:cs="LegacySans-Book"/>
          <w:sz w:val="24"/>
          <w:szCs w:val="24"/>
        </w:rPr>
        <w:t>70s</w:t>
      </w:r>
      <w:r w:rsidRPr="00986557">
        <w:rPr>
          <w:rFonts w:cs="LegacySans-Book"/>
          <w:sz w:val="24"/>
          <w:szCs w:val="24"/>
        </w:rPr>
        <w:t xml:space="preserve">, a hallmark of the group training offering has been the mentoring and pastoral care that is afforded apprentices and trainees to assist in their retention and completion. </w:t>
      </w:r>
    </w:p>
    <w:p w:rsidR="00377CDC" w:rsidRPr="00986557" w:rsidRDefault="00377CDC" w:rsidP="005A0CA7">
      <w:pPr>
        <w:autoSpaceDE w:val="0"/>
        <w:autoSpaceDN w:val="0"/>
        <w:adjustRightInd w:val="0"/>
        <w:spacing w:after="0" w:line="240" w:lineRule="auto"/>
        <w:rPr>
          <w:rFonts w:cs="LegacySans-Book"/>
          <w:sz w:val="24"/>
          <w:szCs w:val="24"/>
        </w:rPr>
      </w:pPr>
    </w:p>
    <w:p w:rsidR="00377CDC" w:rsidRDefault="00377CDC" w:rsidP="005A0CA7">
      <w:pPr>
        <w:autoSpaceDE w:val="0"/>
        <w:autoSpaceDN w:val="0"/>
        <w:adjustRightInd w:val="0"/>
        <w:spacing w:after="0" w:line="240" w:lineRule="auto"/>
        <w:rPr>
          <w:rFonts w:cs="LegacySans-Book"/>
          <w:sz w:val="24"/>
          <w:szCs w:val="24"/>
        </w:rPr>
      </w:pPr>
      <w:r w:rsidRPr="00986557">
        <w:rPr>
          <w:rFonts w:cs="LegacySans-Book"/>
          <w:sz w:val="24"/>
          <w:szCs w:val="24"/>
        </w:rPr>
        <w:t xml:space="preserve">Group training delivers a bundled training </w:t>
      </w:r>
      <w:r>
        <w:rPr>
          <w:rFonts w:cs="LegacySans-Book"/>
          <w:sz w:val="24"/>
          <w:szCs w:val="24"/>
        </w:rPr>
        <w:t>package</w:t>
      </w:r>
      <w:r w:rsidRPr="00986557">
        <w:rPr>
          <w:rFonts w:cs="LegacySans-Book"/>
          <w:sz w:val="24"/>
          <w:szCs w:val="24"/>
        </w:rPr>
        <w:t xml:space="preserve"> to a broad range of enterprises, assisting them to take on apprentices and trainees, build skills, and embed a training culture that might otherwise be overlooked or even abandoned due to a single ‘bad’ experience.</w:t>
      </w:r>
    </w:p>
    <w:p w:rsidR="00377CDC" w:rsidRDefault="00377CDC" w:rsidP="005A0CA7">
      <w:pPr>
        <w:autoSpaceDE w:val="0"/>
        <w:autoSpaceDN w:val="0"/>
        <w:adjustRightInd w:val="0"/>
        <w:spacing w:after="0" w:line="240" w:lineRule="auto"/>
        <w:rPr>
          <w:rFonts w:cs="LegacySans-Book"/>
          <w:sz w:val="24"/>
          <w:szCs w:val="24"/>
        </w:rPr>
      </w:pPr>
    </w:p>
    <w:p w:rsidR="00377CDC" w:rsidRPr="00986557" w:rsidRDefault="00377CDC" w:rsidP="005A0CA7">
      <w:pPr>
        <w:autoSpaceDE w:val="0"/>
        <w:autoSpaceDN w:val="0"/>
        <w:adjustRightInd w:val="0"/>
        <w:spacing w:after="0" w:line="240" w:lineRule="auto"/>
        <w:rPr>
          <w:rFonts w:cs="LegacySans-Book"/>
          <w:sz w:val="24"/>
          <w:szCs w:val="24"/>
        </w:rPr>
      </w:pPr>
      <w:r w:rsidRPr="00986557">
        <w:rPr>
          <w:rFonts w:cs="LegacySans-Book"/>
          <w:sz w:val="24"/>
          <w:szCs w:val="24"/>
        </w:rPr>
        <w:t xml:space="preserve">Group training operates in a number of challenging markets. Firms that engage group training may not have the skills or capacity to </w:t>
      </w:r>
      <w:r>
        <w:rPr>
          <w:rFonts w:cs="LegacySans-Book"/>
          <w:sz w:val="24"/>
          <w:szCs w:val="24"/>
        </w:rPr>
        <w:t xml:space="preserve">manage the apprentice relationship. </w:t>
      </w:r>
      <w:r w:rsidRPr="00986557">
        <w:rPr>
          <w:rFonts w:cs="LegacySans-Book"/>
          <w:sz w:val="24"/>
          <w:szCs w:val="24"/>
        </w:rPr>
        <w:t xml:space="preserve">Coverage extends across </w:t>
      </w:r>
      <w:r>
        <w:rPr>
          <w:rFonts w:cs="LegacySans-Book"/>
          <w:sz w:val="24"/>
          <w:szCs w:val="24"/>
        </w:rPr>
        <w:t>regional, rural</w:t>
      </w:r>
      <w:r w:rsidRPr="00986557">
        <w:rPr>
          <w:rFonts w:cs="LegacySans-Book"/>
          <w:sz w:val="24"/>
          <w:szCs w:val="24"/>
        </w:rPr>
        <w:t xml:space="preserve"> and remote areas including Indigenous communities.</w:t>
      </w:r>
    </w:p>
    <w:p w:rsidR="00377CDC" w:rsidRDefault="00377CDC" w:rsidP="005A0CA7">
      <w:pPr>
        <w:autoSpaceDE w:val="0"/>
        <w:autoSpaceDN w:val="0"/>
        <w:adjustRightInd w:val="0"/>
        <w:spacing w:after="0" w:line="240" w:lineRule="auto"/>
        <w:rPr>
          <w:rFonts w:cs="LegacySans-Book"/>
          <w:sz w:val="24"/>
          <w:szCs w:val="24"/>
        </w:rPr>
      </w:pPr>
    </w:p>
    <w:p w:rsidR="00377CDC" w:rsidRDefault="00377CDC" w:rsidP="005A0CA7">
      <w:pPr>
        <w:autoSpaceDE w:val="0"/>
        <w:autoSpaceDN w:val="0"/>
        <w:adjustRightInd w:val="0"/>
        <w:spacing w:after="0" w:line="240" w:lineRule="auto"/>
        <w:rPr>
          <w:rFonts w:cs="LegacySans-Book"/>
          <w:sz w:val="24"/>
          <w:szCs w:val="24"/>
        </w:rPr>
      </w:pPr>
      <w:r w:rsidRPr="00986557">
        <w:rPr>
          <w:rFonts w:cs="LegacySans-Book"/>
          <w:sz w:val="24"/>
          <w:szCs w:val="24"/>
        </w:rPr>
        <w:t xml:space="preserve">In the area of disability, school-based, and adult apprentices, group training takes an active, hands-on approach that is frequently beyond the willingness or capacity of many employers. </w:t>
      </w:r>
      <w:r>
        <w:rPr>
          <w:rFonts w:cs="LegacySans-Book"/>
          <w:sz w:val="24"/>
          <w:szCs w:val="24"/>
        </w:rPr>
        <w:t xml:space="preserve">Moreover, there </w:t>
      </w:r>
      <w:r w:rsidRPr="00986557">
        <w:rPr>
          <w:rFonts w:cs="LegacySans-Book"/>
          <w:sz w:val="24"/>
          <w:szCs w:val="24"/>
        </w:rPr>
        <w:t xml:space="preserve">are </w:t>
      </w:r>
      <w:r>
        <w:rPr>
          <w:rFonts w:cs="LegacySans-Book"/>
          <w:sz w:val="24"/>
          <w:szCs w:val="24"/>
        </w:rPr>
        <w:t>numerous</w:t>
      </w:r>
      <w:r w:rsidRPr="00986557">
        <w:rPr>
          <w:rFonts w:cs="LegacySans-Book"/>
          <w:sz w:val="24"/>
          <w:szCs w:val="24"/>
        </w:rPr>
        <w:t xml:space="preserve"> </w:t>
      </w:r>
      <w:r>
        <w:rPr>
          <w:rFonts w:cs="LegacySans-Book"/>
          <w:sz w:val="24"/>
          <w:szCs w:val="24"/>
        </w:rPr>
        <w:t>instances</w:t>
      </w:r>
      <w:r w:rsidRPr="00986557">
        <w:rPr>
          <w:rFonts w:cs="LegacySans-Book"/>
          <w:sz w:val="24"/>
          <w:szCs w:val="24"/>
        </w:rPr>
        <w:t xml:space="preserve"> </w:t>
      </w:r>
      <w:r>
        <w:rPr>
          <w:rFonts w:cs="LegacySans-Book"/>
          <w:sz w:val="24"/>
          <w:szCs w:val="24"/>
        </w:rPr>
        <w:t>where GTOs have been able to assist out-of-trade apprentices, who were formerly engaged directly with an employer, to complete their trade.</w:t>
      </w:r>
    </w:p>
    <w:p w:rsidR="00377CDC" w:rsidRDefault="00377CDC" w:rsidP="005A0CA7">
      <w:pPr>
        <w:autoSpaceDE w:val="0"/>
        <w:autoSpaceDN w:val="0"/>
        <w:adjustRightInd w:val="0"/>
        <w:spacing w:after="0" w:line="240" w:lineRule="auto"/>
        <w:rPr>
          <w:rFonts w:cs="LegacySans-Book"/>
          <w:sz w:val="24"/>
          <w:szCs w:val="24"/>
        </w:rPr>
      </w:pPr>
    </w:p>
    <w:p w:rsidR="00377CDC" w:rsidRPr="00986557" w:rsidRDefault="00377CDC" w:rsidP="005A0CA7">
      <w:pPr>
        <w:autoSpaceDE w:val="0"/>
        <w:autoSpaceDN w:val="0"/>
        <w:adjustRightInd w:val="0"/>
        <w:spacing w:after="0" w:line="240" w:lineRule="auto"/>
        <w:rPr>
          <w:rFonts w:cs="LegacySans-Book"/>
          <w:sz w:val="24"/>
          <w:szCs w:val="24"/>
        </w:rPr>
      </w:pPr>
      <w:r w:rsidRPr="00986557">
        <w:rPr>
          <w:rFonts w:cs="LegacySans-Book"/>
          <w:sz w:val="24"/>
          <w:szCs w:val="24"/>
        </w:rPr>
        <w:t xml:space="preserve">GTOs </w:t>
      </w:r>
      <w:r>
        <w:rPr>
          <w:rFonts w:cs="LegacySans-Book"/>
          <w:sz w:val="24"/>
          <w:szCs w:val="24"/>
        </w:rPr>
        <w:t xml:space="preserve">operate in a </w:t>
      </w:r>
      <w:r w:rsidRPr="00986557">
        <w:rPr>
          <w:rFonts w:cs="LegacySans-Book"/>
          <w:sz w:val="24"/>
          <w:szCs w:val="24"/>
        </w:rPr>
        <w:t xml:space="preserve">commercial </w:t>
      </w:r>
      <w:r>
        <w:rPr>
          <w:rFonts w:cs="LegacySans-Book"/>
          <w:sz w:val="24"/>
          <w:szCs w:val="24"/>
        </w:rPr>
        <w:t xml:space="preserve">environment, however there remains a </w:t>
      </w:r>
      <w:r w:rsidRPr="00986557">
        <w:rPr>
          <w:rFonts w:cs="LegacySans-Book"/>
          <w:sz w:val="24"/>
          <w:szCs w:val="24"/>
        </w:rPr>
        <w:t>significant community service element to the</w:t>
      </w:r>
      <w:r>
        <w:rPr>
          <w:rFonts w:cs="LegacySans-Book"/>
          <w:sz w:val="24"/>
          <w:szCs w:val="24"/>
        </w:rPr>
        <w:t>ir operations, and this is r</w:t>
      </w:r>
      <w:r w:rsidRPr="00986557">
        <w:rPr>
          <w:rFonts w:cs="LegacySans-Book"/>
          <w:sz w:val="24"/>
          <w:szCs w:val="24"/>
        </w:rPr>
        <w:t>eflect</w:t>
      </w:r>
      <w:r>
        <w:rPr>
          <w:rFonts w:cs="LegacySans-Book"/>
          <w:sz w:val="24"/>
          <w:szCs w:val="24"/>
        </w:rPr>
        <w:t xml:space="preserve">ed </w:t>
      </w:r>
      <w:r w:rsidRPr="00986557">
        <w:rPr>
          <w:rFonts w:cs="LegacySans-Book"/>
          <w:sz w:val="24"/>
          <w:szCs w:val="24"/>
        </w:rPr>
        <w:t xml:space="preserve">in the </w:t>
      </w:r>
      <w:r>
        <w:rPr>
          <w:rFonts w:cs="LegacySans-Book"/>
          <w:sz w:val="24"/>
          <w:szCs w:val="24"/>
        </w:rPr>
        <w:t xml:space="preserve">allocation of </w:t>
      </w:r>
      <w:r w:rsidRPr="00986557">
        <w:rPr>
          <w:rFonts w:cs="LegacySans-Book"/>
          <w:sz w:val="24"/>
          <w:szCs w:val="24"/>
        </w:rPr>
        <w:t>government fund</w:t>
      </w:r>
      <w:r>
        <w:rPr>
          <w:rFonts w:cs="LegacySans-Book"/>
          <w:sz w:val="24"/>
          <w:szCs w:val="24"/>
        </w:rPr>
        <w:t xml:space="preserve">s to </w:t>
      </w:r>
      <w:r w:rsidRPr="00986557">
        <w:rPr>
          <w:rFonts w:cs="LegacySans-Book"/>
          <w:sz w:val="24"/>
          <w:szCs w:val="24"/>
        </w:rPr>
        <w:t xml:space="preserve">group training. GTOs </w:t>
      </w:r>
      <w:r>
        <w:rPr>
          <w:rFonts w:cs="LegacySans-Book"/>
          <w:sz w:val="24"/>
          <w:szCs w:val="24"/>
        </w:rPr>
        <w:t xml:space="preserve">also often </w:t>
      </w:r>
      <w:r w:rsidRPr="00986557">
        <w:rPr>
          <w:rFonts w:cs="LegacySans-Book"/>
          <w:sz w:val="24"/>
          <w:szCs w:val="24"/>
        </w:rPr>
        <w:t xml:space="preserve">cross-subsidise the more challenging, resource-intensive parts of their </w:t>
      </w:r>
      <w:r>
        <w:rPr>
          <w:rFonts w:cs="LegacySans-Book"/>
          <w:sz w:val="24"/>
          <w:szCs w:val="24"/>
        </w:rPr>
        <w:t xml:space="preserve">operations from other commercial activities. </w:t>
      </w:r>
      <w:r w:rsidRPr="00986557">
        <w:rPr>
          <w:rFonts w:cs="LegacySans-Book"/>
          <w:sz w:val="24"/>
          <w:szCs w:val="24"/>
        </w:rPr>
        <w:t>It is our view that this function, with its strong social and community focus, is one that would not be absorbed by the private sector, without significant additional offsets.</w:t>
      </w:r>
    </w:p>
    <w:p w:rsidR="00377CDC" w:rsidRDefault="00377CDC" w:rsidP="005A0CA7">
      <w:pPr>
        <w:autoSpaceDE w:val="0"/>
        <w:autoSpaceDN w:val="0"/>
        <w:adjustRightInd w:val="0"/>
        <w:spacing w:after="0" w:line="240" w:lineRule="auto"/>
        <w:rPr>
          <w:rFonts w:cs="LegacySans-Book"/>
          <w:sz w:val="24"/>
          <w:szCs w:val="24"/>
        </w:rPr>
      </w:pPr>
    </w:p>
    <w:p w:rsidR="00377CDC" w:rsidRDefault="00377CDC" w:rsidP="005A0CA7">
      <w:pPr>
        <w:autoSpaceDE w:val="0"/>
        <w:autoSpaceDN w:val="0"/>
        <w:adjustRightInd w:val="0"/>
        <w:spacing w:after="0" w:line="240" w:lineRule="auto"/>
        <w:rPr>
          <w:rFonts w:cs="LegacySans-Book"/>
          <w:sz w:val="24"/>
          <w:szCs w:val="24"/>
        </w:rPr>
      </w:pPr>
      <w:r w:rsidRPr="00986557">
        <w:rPr>
          <w:rFonts w:cs="LegacySans-Book"/>
          <w:sz w:val="24"/>
          <w:szCs w:val="24"/>
        </w:rPr>
        <w:t xml:space="preserve">Group training is also evolving its role and its offering.  The national policy priority around skills and workforce development means that the group training network is ideally placed to work with government and </w:t>
      </w:r>
      <w:r>
        <w:rPr>
          <w:rFonts w:cs="LegacySans-Book"/>
          <w:sz w:val="24"/>
          <w:szCs w:val="24"/>
        </w:rPr>
        <w:t>SMEs</w:t>
      </w:r>
      <w:r w:rsidRPr="00986557">
        <w:rPr>
          <w:rFonts w:cs="LegacySans-Book"/>
          <w:sz w:val="24"/>
          <w:szCs w:val="24"/>
        </w:rPr>
        <w:t xml:space="preserve"> to build new skills and </w:t>
      </w:r>
      <w:r>
        <w:rPr>
          <w:rFonts w:cs="LegacySans-Book"/>
          <w:sz w:val="24"/>
          <w:szCs w:val="24"/>
        </w:rPr>
        <w:t>create high performance workplaces.</w:t>
      </w:r>
    </w:p>
    <w:p w:rsidR="00377CDC" w:rsidRPr="00986557" w:rsidRDefault="00377CDC" w:rsidP="005A0CA7">
      <w:pPr>
        <w:autoSpaceDE w:val="0"/>
        <w:autoSpaceDN w:val="0"/>
        <w:adjustRightInd w:val="0"/>
        <w:spacing w:after="0" w:line="240" w:lineRule="auto"/>
        <w:rPr>
          <w:rFonts w:cs="LegacySans-Book"/>
          <w:sz w:val="24"/>
          <w:szCs w:val="24"/>
        </w:rPr>
      </w:pPr>
    </w:p>
    <w:p w:rsidR="00377CDC" w:rsidRDefault="00377CDC" w:rsidP="005A0CA7">
      <w:pPr>
        <w:autoSpaceDE w:val="0"/>
        <w:autoSpaceDN w:val="0"/>
        <w:adjustRightInd w:val="0"/>
        <w:spacing w:after="0" w:line="240" w:lineRule="auto"/>
        <w:rPr>
          <w:rFonts w:cs="LegacySans-Book"/>
          <w:sz w:val="24"/>
          <w:szCs w:val="24"/>
        </w:rPr>
      </w:pPr>
      <w:r w:rsidRPr="00986557">
        <w:rPr>
          <w:rFonts w:cs="LegacySans-Book"/>
          <w:sz w:val="24"/>
          <w:szCs w:val="24"/>
        </w:rPr>
        <w:t xml:space="preserve">The established partnerships between group training, government, SMEs and local communities around </w:t>
      </w:r>
      <w:smartTag w:uri="urn:schemas-microsoft-com:office:smarttags" w:element="place">
        <w:smartTag w:uri="urn:schemas-microsoft-com:office:smarttags" w:element="country-region">
          <w:r w:rsidRPr="00986557">
            <w:rPr>
              <w:rFonts w:cs="LegacySans-Book"/>
              <w:sz w:val="24"/>
              <w:szCs w:val="24"/>
            </w:rPr>
            <w:t>Australia</w:t>
          </w:r>
        </w:smartTag>
      </w:smartTag>
      <w:r w:rsidRPr="00986557">
        <w:rPr>
          <w:rFonts w:cs="LegacySans-Book"/>
          <w:sz w:val="24"/>
          <w:szCs w:val="24"/>
        </w:rPr>
        <w:t xml:space="preserve"> mean that the infrastructure is in place to fully leverage </w:t>
      </w:r>
      <w:r>
        <w:rPr>
          <w:rFonts w:cs="LegacySans-Book"/>
          <w:sz w:val="24"/>
          <w:szCs w:val="24"/>
        </w:rPr>
        <w:t xml:space="preserve">government </w:t>
      </w:r>
      <w:r w:rsidRPr="00986557">
        <w:rPr>
          <w:rFonts w:cs="LegacySans-Book"/>
          <w:sz w:val="24"/>
          <w:szCs w:val="24"/>
        </w:rPr>
        <w:t>policy initiatives, funding and personnel.</w:t>
      </w:r>
      <w:r>
        <w:rPr>
          <w:rFonts w:cs="LegacySans-Book"/>
          <w:sz w:val="24"/>
          <w:szCs w:val="24"/>
        </w:rPr>
        <w:t xml:space="preserve"> </w:t>
      </w:r>
    </w:p>
    <w:p w:rsidR="00377CDC" w:rsidRDefault="00377CDC" w:rsidP="005A0CA7">
      <w:pPr>
        <w:autoSpaceDE w:val="0"/>
        <w:autoSpaceDN w:val="0"/>
        <w:adjustRightInd w:val="0"/>
        <w:spacing w:after="0" w:line="240" w:lineRule="auto"/>
        <w:rPr>
          <w:rFonts w:cs="LegacySans-Book"/>
          <w:sz w:val="24"/>
          <w:szCs w:val="24"/>
        </w:rPr>
      </w:pPr>
    </w:p>
    <w:p w:rsidR="00377CDC" w:rsidRDefault="00377CDC" w:rsidP="005A0CA7">
      <w:pPr>
        <w:autoSpaceDE w:val="0"/>
        <w:autoSpaceDN w:val="0"/>
        <w:adjustRightInd w:val="0"/>
        <w:spacing w:after="0" w:line="240" w:lineRule="auto"/>
        <w:rPr>
          <w:rFonts w:cs="LegacySans-Book"/>
          <w:b/>
          <w:sz w:val="24"/>
          <w:szCs w:val="24"/>
        </w:rPr>
      </w:pPr>
      <w:r w:rsidRPr="00986557">
        <w:rPr>
          <w:rFonts w:cs="LegacySans-Book"/>
          <w:b/>
          <w:sz w:val="24"/>
          <w:szCs w:val="24"/>
        </w:rPr>
        <w:t>Market share</w:t>
      </w:r>
    </w:p>
    <w:p w:rsidR="00377CDC" w:rsidRPr="00986557" w:rsidRDefault="00377CDC" w:rsidP="005A0CA7">
      <w:pPr>
        <w:autoSpaceDE w:val="0"/>
        <w:autoSpaceDN w:val="0"/>
        <w:adjustRightInd w:val="0"/>
        <w:spacing w:after="0" w:line="240" w:lineRule="auto"/>
        <w:rPr>
          <w:rFonts w:cs="LegacySans-Book"/>
          <w:b/>
          <w:sz w:val="24"/>
          <w:szCs w:val="24"/>
        </w:rPr>
      </w:pPr>
    </w:p>
    <w:p w:rsidR="00377CDC" w:rsidRDefault="00377CDC" w:rsidP="005A0CA7">
      <w:pPr>
        <w:autoSpaceDE w:val="0"/>
        <w:autoSpaceDN w:val="0"/>
        <w:adjustRightInd w:val="0"/>
        <w:spacing w:after="0" w:line="240" w:lineRule="auto"/>
        <w:rPr>
          <w:rFonts w:cs="LegacySans-Book"/>
          <w:sz w:val="24"/>
          <w:szCs w:val="24"/>
        </w:rPr>
      </w:pPr>
      <w:r w:rsidRPr="00986557">
        <w:rPr>
          <w:rFonts w:cs="LegacySans-Book"/>
          <w:sz w:val="24"/>
          <w:szCs w:val="24"/>
        </w:rPr>
        <w:t>Group training organisations operate across all states and territories. In the traditional trades</w:t>
      </w:r>
      <w:r>
        <w:rPr>
          <w:rFonts w:cs="LegacySans-Book"/>
          <w:sz w:val="24"/>
          <w:szCs w:val="24"/>
        </w:rPr>
        <w:t xml:space="preserve">, </w:t>
      </w:r>
      <w:r w:rsidRPr="00986557">
        <w:rPr>
          <w:rFonts w:cs="LegacySans-Book"/>
          <w:sz w:val="24"/>
          <w:szCs w:val="24"/>
        </w:rPr>
        <w:t>where the group training network has focussed, it accounts for:</w:t>
      </w:r>
    </w:p>
    <w:p w:rsidR="00377CDC" w:rsidRPr="00986557" w:rsidRDefault="00377CDC" w:rsidP="005A0CA7">
      <w:pPr>
        <w:autoSpaceDE w:val="0"/>
        <w:autoSpaceDN w:val="0"/>
        <w:adjustRightInd w:val="0"/>
        <w:spacing w:after="0" w:line="240" w:lineRule="auto"/>
        <w:rPr>
          <w:rFonts w:cs="LegacySans-Book"/>
          <w:sz w:val="24"/>
          <w:szCs w:val="24"/>
        </w:rPr>
      </w:pPr>
    </w:p>
    <w:p w:rsidR="00377CDC" w:rsidRPr="00986557" w:rsidRDefault="00377CDC" w:rsidP="005A0CA7">
      <w:pPr>
        <w:pStyle w:val="ListParagraph"/>
        <w:numPr>
          <w:ilvl w:val="0"/>
          <w:numId w:val="4"/>
        </w:numPr>
        <w:autoSpaceDE w:val="0"/>
        <w:autoSpaceDN w:val="0"/>
        <w:adjustRightInd w:val="0"/>
        <w:spacing w:after="0" w:line="240" w:lineRule="auto"/>
        <w:rPr>
          <w:rFonts w:cs="LegacySans-Book"/>
          <w:sz w:val="24"/>
          <w:szCs w:val="24"/>
        </w:rPr>
      </w:pPr>
      <w:r w:rsidRPr="00986557">
        <w:rPr>
          <w:rFonts w:cs="LegacySans-Book"/>
          <w:sz w:val="24"/>
          <w:szCs w:val="24"/>
        </w:rPr>
        <w:t>15% of apprentices in automotive and engineering trades</w:t>
      </w:r>
    </w:p>
    <w:p w:rsidR="00377CDC" w:rsidRPr="00986557" w:rsidRDefault="00377CDC" w:rsidP="005A0CA7">
      <w:pPr>
        <w:pStyle w:val="ListParagraph"/>
        <w:numPr>
          <w:ilvl w:val="0"/>
          <w:numId w:val="4"/>
        </w:numPr>
        <w:autoSpaceDE w:val="0"/>
        <w:autoSpaceDN w:val="0"/>
        <w:adjustRightInd w:val="0"/>
        <w:spacing w:after="0" w:line="240" w:lineRule="auto"/>
        <w:rPr>
          <w:rFonts w:cs="LegacySans-Book"/>
          <w:sz w:val="24"/>
          <w:szCs w:val="24"/>
        </w:rPr>
      </w:pPr>
      <w:r w:rsidRPr="00986557">
        <w:rPr>
          <w:rFonts w:cs="LegacySans-Book"/>
          <w:sz w:val="24"/>
          <w:szCs w:val="24"/>
        </w:rPr>
        <w:t>15% of apprentices in construction trades</w:t>
      </w:r>
    </w:p>
    <w:p w:rsidR="00377CDC" w:rsidRPr="00986557" w:rsidRDefault="00377CDC" w:rsidP="005A0CA7">
      <w:pPr>
        <w:pStyle w:val="ListParagraph"/>
        <w:numPr>
          <w:ilvl w:val="0"/>
          <w:numId w:val="4"/>
        </w:numPr>
        <w:autoSpaceDE w:val="0"/>
        <w:autoSpaceDN w:val="0"/>
        <w:adjustRightInd w:val="0"/>
        <w:spacing w:after="0" w:line="240" w:lineRule="auto"/>
        <w:rPr>
          <w:rFonts w:cs="LegacySans-Book"/>
          <w:sz w:val="24"/>
          <w:szCs w:val="24"/>
        </w:rPr>
      </w:pPr>
      <w:r w:rsidRPr="00986557">
        <w:rPr>
          <w:rFonts w:cs="LegacySans-Book"/>
          <w:sz w:val="24"/>
          <w:szCs w:val="24"/>
        </w:rPr>
        <w:t xml:space="preserve">17% of apprentices in </w:t>
      </w:r>
      <w:proofErr w:type="spellStart"/>
      <w:r w:rsidRPr="00986557">
        <w:rPr>
          <w:rFonts w:cs="LegacySans-Book"/>
          <w:sz w:val="24"/>
          <w:szCs w:val="24"/>
        </w:rPr>
        <w:t>electrotechnology</w:t>
      </w:r>
      <w:proofErr w:type="spellEnd"/>
      <w:r w:rsidRPr="00986557">
        <w:rPr>
          <w:rFonts w:cs="LegacySans-Book"/>
          <w:sz w:val="24"/>
          <w:szCs w:val="24"/>
        </w:rPr>
        <w:t xml:space="preserve"> and telecommunications trades</w:t>
      </w:r>
    </w:p>
    <w:p w:rsidR="00377CDC" w:rsidRDefault="00377CDC" w:rsidP="005A0CA7">
      <w:pPr>
        <w:autoSpaceDE w:val="0"/>
        <w:autoSpaceDN w:val="0"/>
        <w:adjustRightInd w:val="0"/>
        <w:spacing w:after="0" w:line="240" w:lineRule="auto"/>
        <w:rPr>
          <w:rFonts w:cs="LegacySans-Book"/>
          <w:b/>
          <w:sz w:val="24"/>
          <w:szCs w:val="24"/>
        </w:rPr>
      </w:pPr>
    </w:p>
    <w:p w:rsidR="00377CDC" w:rsidRDefault="00377CDC" w:rsidP="005A0CA7">
      <w:pPr>
        <w:autoSpaceDE w:val="0"/>
        <w:autoSpaceDN w:val="0"/>
        <w:adjustRightInd w:val="0"/>
        <w:spacing w:after="0" w:line="240" w:lineRule="auto"/>
        <w:rPr>
          <w:rFonts w:cs="LegacySans-Book"/>
          <w:sz w:val="24"/>
          <w:szCs w:val="24"/>
        </w:rPr>
      </w:pPr>
      <w:r w:rsidRPr="000768E4">
        <w:rPr>
          <w:rFonts w:cs="LegacySans-Book"/>
          <w:b/>
          <w:sz w:val="24"/>
          <w:szCs w:val="24"/>
        </w:rPr>
        <w:t>Note:</w:t>
      </w:r>
      <w:r>
        <w:rPr>
          <w:rFonts w:cs="LegacySans-Book"/>
          <w:sz w:val="24"/>
          <w:szCs w:val="24"/>
        </w:rPr>
        <w:t xml:space="preserve"> </w:t>
      </w:r>
      <w:r w:rsidRPr="00596689">
        <w:rPr>
          <w:rFonts w:cs="LegacySans-Book"/>
          <w:b/>
          <w:sz w:val="24"/>
          <w:szCs w:val="24"/>
        </w:rPr>
        <w:t>State associations may wish to insert additional statistics from a state perspective at their discretion.</w:t>
      </w:r>
    </w:p>
    <w:p w:rsidR="00377CDC" w:rsidRDefault="00377CDC" w:rsidP="005A0CA7">
      <w:pPr>
        <w:autoSpaceDE w:val="0"/>
        <w:autoSpaceDN w:val="0"/>
        <w:adjustRightInd w:val="0"/>
        <w:spacing w:after="0" w:line="240" w:lineRule="auto"/>
        <w:rPr>
          <w:rFonts w:cs="LegacySans-Book"/>
          <w:b/>
          <w:sz w:val="24"/>
          <w:szCs w:val="24"/>
        </w:rPr>
      </w:pPr>
    </w:p>
    <w:p w:rsidR="00377CDC" w:rsidRDefault="00377CDC" w:rsidP="005A0CA7">
      <w:pPr>
        <w:autoSpaceDE w:val="0"/>
        <w:autoSpaceDN w:val="0"/>
        <w:adjustRightInd w:val="0"/>
        <w:spacing w:after="0" w:line="240" w:lineRule="auto"/>
        <w:rPr>
          <w:rFonts w:cs="LegacySans-Book"/>
          <w:b/>
          <w:sz w:val="24"/>
          <w:szCs w:val="24"/>
        </w:rPr>
      </w:pPr>
      <w:r w:rsidRPr="00986557">
        <w:rPr>
          <w:rFonts w:cs="LegacySans-Book"/>
          <w:b/>
          <w:sz w:val="24"/>
          <w:szCs w:val="24"/>
        </w:rPr>
        <w:t>Quality</w:t>
      </w:r>
    </w:p>
    <w:p w:rsidR="00377CDC" w:rsidRPr="00986557" w:rsidRDefault="00377CDC" w:rsidP="005A0CA7">
      <w:pPr>
        <w:autoSpaceDE w:val="0"/>
        <w:autoSpaceDN w:val="0"/>
        <w:adjustRightInd w:val="0"/>
        <w:spacing w:after="0" w:line="240" w:lineRule="auto"/>
        <w:rPr>
          <w:rFonts w:cs="LegacySans-Book"/>
          <w:b/>
          <w:sz w:val="24"/>
          <w:szCs w:val="24"/>
        </w:rPr>
      </w:pPr>
    </w:p>
    <w:p w:rsidR="00377CDC" w:rsidRPr="00986557" w:rsidRDefault="00377CDC" w:rsidP="005A0CA7">
      <w:pPr>
        <w:autoSpaceDE w:val="0"/>
        <w:autoSpaceDN w:val="0"/>
        <w:adjustRightInd w:val="0"/>
        <w:spacing w:after="0" w:line="240" w:lineRule="auto"/>
        <w:rPr>
          <w:rFonts w:cs="LegacySans-Book"/>
          <w:sz w:val="24"/>
          <w:szCs w:val="24"/>
        </w:rPr>
      </w:pPr>
      <w:r w:rsidRPr="00986557">
        <w:rPr>
          <w:rFonts w:cs="LegacySans-Book"/>
          <w:sz w:val="24"/>
          <w:szCs w:val="24"/>
        </w:rPr>
        <w:t>Despite working with a broad cross section of the apprentice population (and not just the ‘best’) GTOs have been producing more ‘completions per apprentice in-training’ since 2006 than other forms of employment.  In recent years th</w:t>
      </w:r>
      <w:r>
        <w:rPr>
          <w:rFonts w:cs="LegacySans-Book"/>
          <w:sz w:val="24"/>
          <w:szCs w:val="24"/>
        </w:rPr>
        <w:t>e</w:t>
      </w:r>
      <w:r w:rsidRPr="00986557">
        <w:rPr>
          <w:rFonts w:cs="LegacySans-Book"/>
          <w:sz w:val="24"/>
          <w:szCs w:val="24"/>
        </w:rPr>
        <w:t xml:space="preserve"> gap has widen</w:t>
      </w:r>
      <w:r>
        <w:rPr>
          <w:rFonts w:cs="LegacySans-Book"/>
          <w:sz w:val="24"/>
          <w:szCs w:val="24"/>
        </w:rPr>
        <w:t>ed</w:t>
      </w:r>
      <w:r w:rsidRPr="00986557">
        <w:rPr>
          <w:rFonts w:cs="LegacySans-Book"/>
          <w:sz w:val="24"/>
          <w:szCs w:val="24"/>
        </w:rPr>
        <w:t>.</w:t>
      </w:r>
    </w:p>
    <w:p w:rsidR="00377CDC" w:rsidRDefault="00377CDC" w:rsidP="005A0CA7">
      <w:pPr>
        <w:autoSpaceDE w:val="0"/>
        <w:autoSpaceDN w:val="0"/>
        <w:adjustRightInd w:val="0"/>
        <w:spacing w:after="0" w:line="240" w:lineRule="auto"/>
        <w:rPr>
          <w:rFonts w:cs="LegacySans-Book"/>
        </w:rPr>
      </w:pPr>
    </w:p>
    <w:p w:rsidR="00377CDC" w:rsidRDefault="005B50EA" w:rsidP="0033359D">
      <w:pPr>
        <w:autoSpaceDE w:val="0"/>
        <w:autoSpaceDN w:val="0"/>
        <w:adjustRightInd w:val="0"/>
        <w:spacing w:before="120" w:after="0"/>
        <w:jc w:val="center"/>
        <w:rPr>
          <w:rFonts w:cs="LegacySans-Book"/>
        </w:rPr>
      </w:pPr>
      <w:r>
        <w:rPr>
          <w:noProof/>
          <w:lang w:eastAsia="en-AU"/>
        </w:rPr>
        <w:drawing>
          <wp:inline distT="0" distB="0" distL="0" distR="0">
            <wp:extent cx="3679825" cy="220916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679825" cy="2209165"/>
                    </a:xfrm>
                    <a:prstGeom prst="rect">
                      <a:avLst/>
                    </a:prstGeom>
                    <a:noFill/>
                    <a:ln w="9525">
                      <a:noFill/>
                      <a:miter lim="800000"/>
                      <a:headEnd/>
                      <a:tailEnd/>
                    </a:ln>
                  </pic:spPr>
                </pic:pic>
              </a:graphicData>
            </a:graphic>
          </wp:inline>
        </w:drawing>
      </w:r>
    </w:p>
    <w:p w:rsidR="00377CDC" w:rsidRDefault="00377CDC" w:rsidP="005A0CA7">
      <w:pPr>
        <w:autoSpaceDE w:val="0"/>
        <w:autoSpaceDN w:val="0"/>
        <w:adjustRightInd w:val="0"/>
        <w:spacing w:after="0" w:line="240" w:lineRule="auto"/>
        <w:rPr>
          <w:rFonts w:cs="LegacySans-Book"/>
        </w:rPr>
      </w:pPr>
    </w:p>
    <w:p w:rsidR="00377CDC" w:rsidRDefault="00377CDC" w:rsidP="005A0CA7">
      <w:pPr>
        <w:spacing w:after="0" w:line="240" w:lineRule="auto"/>
      </w:pPr>
    </w:p>
    <w:p w:rsidR="00377CDC" w:rsidRPr="003148C1" w:rsidRDefault="00377CDC" w:rsidP="005A0CA7">
      <w:pPr>
        <w:spacing w:after="0" w:line="240" w:lineRule="auto"/>
        <w:rPr>
          <w:b/>
          <w:sz w:val="24"/>
          <w:szCs w:val="24"/>
        </w:rPr>
      </w:pPr>
      <w:r w:rsidRPr="003148C1">
        <w:rPr>
          <w:b/>
          <w:sz w:val="24"/>
          <w:szCs w:val="24"/>
        </w:rPr>
        <w:t>Skills development in SMEs</w:t>
      </w:r>
    </w:p>
    <w:p w:rsidR="00377CDC" w:rsidRPr="003148C1" w:rsidRDefault="00377CDC" w:rsidP="005A0CA7">
      <w:pPr>
        <w:spacing w:after="0" w:line="240" w:lineRule="auto"/>
        <w:rPr>
          <w:b/>
          <w:sz w:val="24"/>
          <w:szCs w:val="24"/>
        </w:rPr>
      </w:pPr>
    </w:p>
    <w:p w:rsidR="00377CDC" w:rsidRPr="003148C1" w:rsidRDefault="00377CDC" w:rsidP="005A0CA7">
      <w:pPr>
        <w:spacing w:after="0" w:line="240" w:lineRule="auto"/>
        <w:rPr>
          <w:sz w:val="24"/>
          <w:szCs w:val="24"/>
        </w:rPr>
      </w:pPr>
      <w:r w:rsidRPr="003148C1">
        <w:rPr>
          <w:sz w:val="24"/>
          <w:szCs w:val="24"/>
        </w:rPr>
        <w:t>Group training plays a key role in the small and medium business landscape.  Many SMEs would not be in a position to directly engage apprentices without an intermediary such as a GTO.</w:t>
      </w:r>
    </w:p>
    <w:p w:rsidR="00377CDC" w:rsidRPr="003148C1" w:rsidRDefault="00377CDC" w:rsidP="005A0CA7">
      <w:pPr>
        <w:spacing w:after="0" w:line="240" w:lineRule="auto"/>
        <w:rPr>
          <w:sz w:val="24"/>
          <w:szCs w:val="24"/>
        </w:rPr>
      </w:pPr>
    </w:p>
    <w:p w:rsidR="00377CDC" w:rsidRPr="003148C1" w:rsidRDefault="00377CDC" w:rsidP="005A0CA7">
      <w:pPr>
        <w:spacing w:after="0" w:line="240" w:lineRule="auto"/>
        <w:rPr>
          <w:sz w:val="24"/>
          <w:szCs w:val="24"/>
        </w:rPr>
      </w:pPr>
      <w:r w:rsidRPr="003148C1">
        <w:rPr>
          <w:sz w:val="24"/>
          <w:szCs w:val="24"/>
          <w:lang w:val="en-US"/>
        </w:rPr>
        <w:t xml:space="preserve">The </w:t>
      </w:r>
      <w:r>
        <w:rPr>
          <w:sz w:val="24"/>
          <w:szCs w:val="24"/>
          <w:lang w:val="en-US"/>
        </w:rPr>
        <w:t xml:space="preserve">host </w:t>
      </w:r>
      <w:r w:rsidRPr="003148C1">
        <w:rPr>
          <w:sz w:val="24"/>
          <w:szCs w:val="24"/>
          <w:lang w:val="en-US"/>
        </w:rPr>
        <w:t xml:space="preserve">employer </w:t>
      </w:r>
      <w:r>
        <w:rPr>
          <w:sz w:val="24"/>
          <w:szCs w:val="24"/>
          <w:lang w:val="en-US"/>
        </w:rPr>
        <w:t>profile</w:t>
      </w:r>
      <w:r w:rsidRPr="003148C1">
        <w:rPr>
          <w:sz w:val="24"/>
          <w:szCs w:val="24"/>
          <w:lang w:val="en-US"/>
        </w:rPr>
        <w:t xml:space="preserve"> that is a feature of group training was highlighted in work prepared by the </w:t>
      </w:r>
      <w:r w:rsidRPr="003148C1">
        <w:rPr>
          <w:sz w:val="24"/>
          <w:szCs w:val="24"/>
        </w:rPr>
        <w:t>National Institute for Economic and Industry Research (NIEIR) for GTA’s 201</w:t>
      </w:r>
      <w:r>
        <w:rPr>
          <w:sz w:val="24"/>
          <w:szCs w:val="24"/>
        </w:rPr>
        <w:t>0</w:t>
      </w:r>
      <w:r w:rsidRPr="003148C1">
        <w:rPr>
          <w:sz w:val="24"/>
          <w:szCs w:val="24"/>
        </w:rPr>
        <w:t xml:space="preserve"> </w:t>
      </w:r>
      <w:r w:rsidRPr="003148C1">
        <w:rPr>
          <w:i/>
          <w:sz w:val="24"/>
          <w:szCs w:val="24"/>
        </w:rPr>
        <w:t>Looking Ahead</w:t>
      </w:r>
      <w:r w:rsidRPr="003148C1">
        <w:rPr>
          <w:sz w:val="24"/>
          <w:szCs w:val="24"/>
        </w:rPr>
        <w:t xml:space="preserve"> report, which shows that two-thirds of GTOs have between one and four apprentices and trainees per client, with over 50% having between 1.6 and 2.6</w:t>
      </w:r>
    </w:p>
    <w:p w:rsidR="00377CDC" w:rsidRPr="003148C1" w:rsidRDefault="00377CDC" w:rsidP="005A0CA7">
      <w:pPr>
        <w:spacing w:after="0" w:line="240" w:lineRule="auto"/>
        <w:rPr>
          <w:sz w:val="24"/>
          <w:szCs w:val="24"/>
        </w:rPr>
      </w:pPr>
    </w:p>
    <w:p w:rsidR="00377CDC" w:rsidRDefault="00377CDC" w:rsidP="005A0CA7">
      <w:pPr>
        <w:spacing w:after="0" w:line="240" w:lineRule="auto"/>
        <w:rPr>
          <w:sz w:val="24"/>
          <w:szCs w:val="24"/>
          <w:lang w:val="en-US"/>
        </w:rPr>
      </w:pPr>
      <w:r w:rsidRPr="003148C1">
        <w:rPr>
          <w:sz w:val="24"/>
          <w:szCs w:val="24"/>
          <w:lang w:val="en-US"/>
        </w:rPr>
        <w:t>As the report notes, “….GTOs are restricted to clients requiring the management of relatively small numbers of apprentices and trainees.” The simple fact is that an employer with only 2-3 apprentices is often unlikely to be in a position to manage that without the help of an intermediary such as group training.</w:t>
      </w:r>
    </w:p>
    <w:p w:rsidR="00377CDC" w:rsidRDefault="00377CDC" w:rsidP="005A0CA7">
      <w:pPr>
        <w:spacing w:after="0" w:line="240" w:lineRule="auto"/>
        <w:rPr>
          <w:sz w:val="24"/>
          <w:szCs w:val="24"/>
          <w:lang w:val="en-US"/>
        </w:rPr>
      </w:pPr>
    </w:p>
    <w:p w:rsidR="00377CDC" w:rsidRPr="003148C1" w:rsidRDefault="00377CDC" w:rsidP="005A0CA7">
      <w:pPr>
        <w:spacing w:after="0" w:line="240" w:lineRule="auto"/>
        <w:rPr>
          <w:sz w:val="24"/>
          <w:szCs w:val="24"/>
          <w:lang w:val="en-US"/>
        </w:rPr>
      </w:pPr>
      <w:r w:rsidRPr="001E07C5">
        <w:rPr>
          <w:sz w:val="24"/>
          <w:szCs w:val="24"/>
          <w:lang w:val="en-US"/>
        </w:rPr>
        <w:t>When one extrapolates that relationship across 100,000 host employers</w:t>
      </w:r>
      <w:r>
        <w:rPr>
          <w:sz w:val="24"/>
          <w:szCs w:val="24"/>
          <w:lang w:val="en-US"/>
        </w:rPr>
        <w:t xml:space="preserve">, </w:t>
      </w:r>
      <w:r w:rsidRPr="001E07C5">
        <w:rPr>
          <w:sz w:val="24"/>
          <w:szCs w:val="24"/>
          <w:lang w:val="en-US"/>
        </w:rPr>
        <w:t xml:space="preserve">operating in </w:t>
      </w:r>
      <w:r>
        <w:rPr>
          <w:sz w:val="24"/>
          <w:szCs w:val="24"/>
          <w:lang w:val="en-US"/>
        </w:rPr>
        <w:t xml:space="preserve">metropolitan, regional and remote </w:t>
      </w:r>
      <w:r w:rsidRPr="001E07C5">
        <w:rPr>
          <w:sz w:val="24"/>
          <w:szCs w:val="24"/>
          <w:lang w:val="en-US"/>
        </w:rPr>
        <w:t>communities</w:t>
      </w:r>
      <w:r>
        <w:rPr>
          <w:sz w:val="24"/>
          <w:szCs w:val="24"/>
          <w:lang w:val="en-US"/>
        </w:rPr>
        <w:t xml:space="preserve">, </w:t>
      </w:r>
      <w:r w:rsidRPr="001E07C5">
        <w:rPr>
          <w:sz w:val="24"/>
          <w:szCs w:val="24"/>
          <w:lang w:val="en-US"/>
        </w:rPr>
        <w:t xml:space="preserve">one begins to </w:t>
      </w:r>
      <w:r>
        <w:rPr>
          <w:sz w:val="24"/>
          <w:szCs w:val="24"/>
          <w:lang w:val="en-US"/>
        </w:rPr>
        <w:t xml:space="preserve">appreciate the depth and breadth of group training’s reach across </w:t>
      </w:r>
      <w:smartTag w:uri="urn:schemas-microsoft-com:office:smarttags" w:element="place">
        <w:smartTag w:uri="urn:schemas-microsoft-com:office:smarttags" w:element="country-region">
          <w:r>
            <w:rPr>
              <w:sz w:val="24"/>
              <w:szCs w:val="24"/>
              <w:lang w:val="en-US"/>
            </w:rPr>
            <w:t>Australia</w:t>
          </w:r>
        </w:smartTag>
      </w:smartTag>
      <w:r>
        <w:rPr>
          <w:sz w:val="24"/>
          <w:szCs w:val="24"/>
          <w:lang w:val="en-US"/>
        </w:rPr>
        <w:t>.</w:t>
      </w:r>
    </w:p>
    <w:p w:rsidR="00377CDC" w:rsidRPr="003148C1" w:rsidRDefault="00377CDC" w:rsidP="005A0CA7">
      <w:pPr>
        <w:spacing w:after="0" w:line="240" w:lineRule="auto"/>
        <w:rPr>
          <w:sz w:val="24"/>
          <w:szCs w:val="24"/>
          <w:lang w:val="en-US"/>
        </w:rPr>
      </w:pPr>
    </w:p>
    <w:p w:rsidR="00377CDC" w:rsidRPr="003148C1" w:rsidRDefault="00377CDC" w:rsidP="005A0CA7">
      <w:pPr>
        <w:spacing w:after="0" w:line="240" w:lineRule="auto"/>
        <w:rPr>
          <w:sz w:val="24"/>
          <w:szCs w:val="24"/>
        </w:rPr>
      </w:pPr>
      <w:r w:rsidRPr="003148C1">
        <w:rPr>
          <w:sz w:val="24"/>
          <w:szCs w:val="24"/>
        </w:rPr>
        <w:t xml:space="preserve">And because GTOs are responsible for WHS and other pastoral care obligations, government has an assurance that these services are being managed to a high standard.  </w:t>
      </w:r>
    </w:p>
    <w:p w:rsidR="00377CDC" w:rsidRDefault="00377CDC" w:rsidP="005A0CA7">
      <w:pPr>
        <w:spacing w:after="0" w:line="240" w:lineRule="auto"/>
      </w:pPr>
    </w:p>
    <w:p w:rsidR="00377CDC" w:rsidRDefault="00377CDC" w:rsidP="005A0CA7">
      <w:pPr>
        <w:spacing w:after="0" w:line="240" w:lineRule="auto"/>
        <w:rPr>
          <w:b/>
          <w:sz w:val="24"/>
          <w:szCs w:val="24"/>
        </w:rPr>
      </w:pPr>
      <w:r w:rsidRPr="00042435">
        <w:rPr>
          <w:b/>
          <w:sz w:val="24"/>
          <w:szCs w:val="24"/>
        </w:rPr>
        <w:t xml:space="preserve">A platform for </w:t>
      </w:r>
      <w:r>
        <w:rPr>
          <w:b/>
          <w:sz w:val="24"/>
          <w:szCs w:val="24"/>
        </w:rPr>
        <w:t xml:space="preserve">the </w:t>
      </w:r>
      <w:r w:rsidRPr="00042435">
        <w:rPr>
          <w:b/>
          <w:sz w:val="24"/>
          <w:szCs w:val="24"/>
        </w:rPr>
        <w:t>future</w:t>
      </w:r>
    </w:p>
    <w:p w:rsidR="00377CDC" w:rsidRPr="00042435" w:rsidRDefault="00377CDC" w:rsidP="005A0CA7">
      <w:pPr>
        <w:spacing w:after="0" w:line="240" w:lineRule="auto"/>
        <w:rPr>
          <w:b/>
          <w:sz w:val="24"/>
          <w:szCs w:val="24"/>
        </w:rPr>
      </w:pPr>
    </w:p>
    <w:p w:rsidR="00377CDC" w:rsidRDefault="00377CDC" w:rsidP="005A0CA7">
      <w:pPr>
        <w:spacing w:after="0" w:line="240" w:lineRule="auto"/>
        <w:rPr>
          <w:sz w:val="24"/>
          <w:szCs w:val="24"/>
        </w:rPr>
      </w:pPr>
      <w:r w:rsidRPr="00042435">
        <w:rPr>
          <w:sz w:val="24"/>
          <w:szCs w:val="24"/>
        </w:rPr>
        <w:t xml:space="preserve">The group training network is an established part of the architecture of the VET system. The network of 150 GTOs, 2,000 field staff and 100,000 </w:t>
      </w:r>
      <w:r>
        <w:rPr>
          <w:sz w:val="24"/>
          <w:szCs w:val="24"/>
        </w:rPr>
        <w:t xml:space="preserve">host </w:t>
      </w:r>
      <w:r w:rsidRPr="00042435">
        <w:rPr>
          <w:sz w:val="24"/>
          <w:szCs w:val="24"/>
        </w:rPr>
        <w:t xml:space="preserve">employers offers government a unique partner in delivery of ongoing and future programs.  </w:t>
      </w:r>
    </w:p>
    <w:p w:rsidR="00377CDC" w:rsidRDefault="00377CDC" w:rsidP="005A0CA7">
      <w:pPr>
        <w:spacing w:after="0" w:line="240" w:lineRule="auto"/>
        <w:rPr>
          <w:sz w:val="24"/>
          <w:szCs w:val="24"/>
        </w:rPr>
      </w:pPr>
    </w:p>
    <w:p w:rsidR="00377CDC" w:rsidRDefault="00377CDC" w:rsidP="005A0CA7">
      <w:pPr>
        <w:spacing w:after="0" w:line="240" w:lineRule="auto"/>
        <w:rPr>
          <w:sz w:val="24"/>
          <w:szCs w:val="24"/>
        </w:rPr>
      </w:pPr>
    </w:p>
    <w:tbl>
      <w:tblPr>
        <w:tblW w:w="0" w:type="auto"/>
        <w:tblLook w:val="00A0" w:firstRow="1" w:lastRow="0" w:firstColumn="1" w:lastColumn="0" w:noHBand="0" w:noVBand="0"/>
      </w:tblPr>
      <w:tblGrid>
        <w:gridCol w:w="9242"/>
      </w:tblGrid>
      <w:tr w:rsidR="00377CDC" w:rsidTr="009E25F4">
        <w:trPr>
          <w:trHeight w:val="5529"/>
        </w:trPr>
        <w:tc>
          <w:tcPr>
            <w:tcW w:w="9242" w:type="dxa"/>
          </w:tcPr>
          <w:p w:rsidR="00377CDC" w:rsidRPr="009E25F4" w:rsidRDefault="00377CDC" w:rsidP="009E25F4">
            <w:pPr>
              <w:spacing w:after="0" w:line="240" w:lineRule="auto"/>
              <w:rPr>
                <w:sz w:val="24"/>
                <w:szCs w:val="24"/>
              </w:rPr>
            </w:pPr>
            <w:r w:rsidRPr="009E25F4">
              <w:rPr>
                <w:sz w:val="24"/>
                <w:szCs w:val="24"/>
              </w:rPr>
              <w:br w:type="page"/>
            </w:r>
            <w:r w:rsidR="008E6D9E">
              <w:rPr>
                <w:noProof/>
                <w:lang w:eastAsia="en-AU"/>
              </w:rPr>
              <w:pict>
                <v:shapetype id="_x0000_t202" coordsize="21600,21600" o:spt="202" path="m,l,21600r21600,l21600,xe">
                  <v:stroke joinstyle="miter"/>
                  <v:path gradientshapeok="t" o:connecttype="rect"/>
                </v:shapetype>
                <v:shape id="_x0000_s1027" type="#_x0000_t202" style="position:absolute;margin-left:67.15pt;margin-top:6.75pt;width:295.95pt;height:24.75pt;z-index:251655168" stroked="f">
                  <v:textbox>
                    <w:txbxContent>
                      <w:p w:rsidR="00377CDC" w:rsidRPr="00B21EC7" w:rsidRDefault="00377CDC" w:rsidP="00FA201D">
                        <w:pPr>
                          <w:jc w:val="center"/>
                          <w:rPr>
                            <w:b/>
                            <w:sz w:val="32"/>
                          </w:rPr>
                        </w:pPr>
                        <w:r w:rsidRPr="00B21EC7">
                          <w:rPr>
                            <w:b/>
                            <w:sz w:val="32"/>
                          </w:rPr>
                          <w:t>Group Training Service Delivery</w:t>
                        </w:r>
                      </w:p>
                    </w:txbxContent>
                  </v:textbox>
                </v:shape>
              </w:pict>
            </w:r>
          </w:p>
          <w:p w:rsidR="00377CDC" w:rsidRPr="009E25F4" w:rsidRDefault="00377CDC" w:rsidP="009E25F4">
            <w:pPr>
              <w:spacing w:after="0" w:line="240" w:lineRule="auto"/>
              <w:rPr>
                <w:sz w:val="24"/>
                <w:szCs w:val="24"/>
              </w:rPr>
            </w:pPr>
          </w:p>
          <w:p w:rsidR="00377CDC" w:rsidRPr="009E25F4" w:rsidRDefault="008E6D9E" w:rsidP="009E25F4">
            <w:pPr>
              <w:spacing w:after="0" w:line="240" w:lineRule="auto"/>
              <w:rPr>
                <w:sz w:val="24"/>
                <w:szCs w:val="24"/>
              </w:rPr>
            </w:pPr>
            <w:r>
              <w:rPr>
                <w:noProof/>
                <w:lang w:eastAsia="en-AU"/>
              </w:rPr>
              <w:pict>
                <v:shape id="_x0000_s1028" type="#_x0000_t32" style="position:absolute;margin-left:10.85pt;margin-top:8.2pt;width:400.5pt;height:0;z-index:251656192" o:connectortype="straight" strokeweight="6pt">
                  <v:stroke startarrow="block" endarrow="block"/>
                </v:shape>
              </w:pict>
            </w:r>
            <w:r>
              <w:rPr>
                <w:noProof/>
                <w:lang w:eastAsia="en-AU"/>
              </w:rPr>
              <w:pict>
                <v:shape id="_x0000_s1029" type="#_x0000_t202" style="position:absolute;margin-left:33pt;margin-top:12.35pt;width:367.85pt;height:27.35pt;z-index:251659264" filled="f" stroked="f">
                  <v:textbox>
                    <w:txbxContent>
                      <w:p w:rsidR="00377CDC" w:rsidRPr="0092432C" w:rsidRDefault="00377CDC" w:rsidP="0092432C">
                        <w:pPr>
                          <w:jc w:val="center"/>
                          <w:rPr>
                            <w:b/>
                            <w:sz w:val="28"/>
                            <w:lang w:val="en-US"/>
                          </w:rPr>
                        </w:pPr>
                        <w:r w:rsidRPr="0092432C">
                          <w:rPr>
                            <w:b/>
                            <w:sz w:val="28"/>
                            <w:lang w:val="en-US"/>
                          </w:rPr>
                          <w:t>Government Programs</w:t>
                        </w:r>
                      </w:p>
                    </w:txbxContent>
                  </v:textbox>
                </v:shape>
              </w:pict>
            </w:r>
          </w:p>
          <w:p w:rsidR="00377CDC" w:rsidRPr="009E25F4" w:rsidRDefault="00377CDC" w:rsidP="009E25F4">
            <w:pPr>
              <w:spacing w:after="0" w:line="240" w:lineRule="auto"/>
              <w:rPr>
                <w:sz w:val="24"/>
                <w:szCs w:val="24"/>
              </w:rPr>
            </w:pPr>
          </w:p>
          <w:p w:rsidR="00377CDC" w:rsidRPr="009E25F4" w:rsidRDefault="005B50EA" w:rsidP="009E25F4">
            <w:pPr>
              <w:spacing w:after="0" w:line="240" w:lineRule="auto"/>
              <w:rPr>
                <w:sz w:val="24"/>
                <w:szCs w:val="24"/>
              </w:rPr>
            </w:pPr>
            <w:r>
              <w:rPr>
                <w:noProof/>
                <w:sz w:val="24"/>
                <w:szCs w:val="24"/>
                <w:lang w:eastAsia="en-AU"/>
              </w:rPr>
              <w:drawing>
                <wp:inline distT="0" distB="0" distL="0" distR="0">
                  <wp:extent cx="5214271" cy="2845435"/>
                  <wp:effectExtent l="38100" t="0" r="81915" b="0"/>
                  <wp:docPr id="3"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8E6D9E">
              <w:rPr>
                <w:noProof/>
                <w:lang w:eastAsia="en-AU"/>
              </w:rPr>
              <w:pict>
                <v:shape id="_x0000_s1030" type="#_x0000_t32" style="position:absolute;margin-left:129pt;margin-top:101.9pt;width:14.25pt;height:0;z-index:251657216;mso-position-horizontal-relative:text;mso-position-vertical-relative:text" o:connectortype="straight" strokeweight="3pt">
                  <v:stroke endarrow="block"/>
                </v:shape>
              </w:pict>
            </w:r>
            <w:r w:rsidR="008E6D9E">
              <w:rPr>
                <w:noProof/>
                <w:lang w:eastAsia="en-AU"/>
              </w:rPr>
              <w:pict>
                <v:shape id="_x0000_s1031" type="#_x0000_t32" style="position:absolute;margin-left:273.75pt;margin-top:133.4pt;width:14.25pt;height:0;z-index:251658240;mso-position-horizontal-relative:text;mso-position-vertical-relative:text" o:connectortype="straight" strokeweight="3pt">
                  <v:stroke endarrow="block"/>
                </v:shape>
              </w:pict>
            </w:r>
          </w:p>
        </w:tc>
      </w:tr>
    </w:tbl>
    <w:p w:rsidR="00377CDC" w:rsidRDefault="00377CDC" w:rsidP="00292BBF">
      <w:pPr>
        <w:spacing w:after="0" w:line="240" w:lineRule="auto"/>
        <w:rPr>
          <w:sz w:val="24"/>
          <w:szCs w:val="24"/>
        </w:rPr>
      </w:pPr>
    </w:p>
    <w:p w:rsidR="00377CDC" w:rsidRPr="005C7E91" w:rsidRDefault="00377CDC" w:rsidP="00D91FC5">
      <w:pPr>
        <w:spacing w:after="0" w:line="240" w:lineRule="auto"/>
        <w:rPr>
          <w:sz w:val="24"/>
          <w:szCs w:val="24"/>
        </w:rPr>
      </w:pPr>
      <w:r w:rsidRPr="005C7E91">
        <w:rPr>
          <w:sz w:val="24"/>
          <w:szCs w:val="24"/>
        </w:rPr>
        <w:t>Government policies and programs aimed at increasing the supply of apprentices across a broad range of the population have often not succeeded because of failure to make the commencement ‘stick’.</w:t>
      </w:r>
    </w:p>
    <w:p w:rsidR="00377CDC" w:rsidRPr="005C7E91" w:rsidRDefault="00377CDC" w:rsidP="00D91FC5">
      <w:pPr>
        <w:spacing w:after="0" w:line="240" w:lineRule="auto"/>
        <w:rPr>
          <w:sz w:val="24"/>
          <w:szCs w:val="24"/>
        </w:rPr>
      </w:pPr>
    </w:p>
    <w:p w:rsidR="00377CDC" w:rsidRDefault="00377CDC" w:rsidP="00D91FC5">
      <w:pPr>
        <w:spacing w:after="0" w:line="240" w:lineRule="auto"/>
        <w:rPr>
          <w:sz w:val="24"/>
          <w:szCs w:val="24"/>
        </w:rPr>
      </w:pPr>
      <w:r w:rsidRPr="005C7E91">
        <w:rPr>
          <w:sz w:val="24"/>
          <w:szCs w:val="24"/>
        </w:rPr>
        <w:t>Throughout its history, group training has catered for young people (and progressively more adults) with a wide range of ability. Its success has been built on the support and mentoring it provides across the full breadth of the apprentice experience. It is a proven broker of opportunities and collaboration between schools and employers and can fast-track young people through vocational pathways.  It is the biggest single employer of school-based apprenticeships</w:t>
      </w:r>
      <w:r>
        <w:rPr>
          <w:sz w:val="24"/>
          <w:szCs w:val="24"/>
        </w:rPr>
        <w:t xml:space="preserve"> and traineeships,</w:t>
      </w:r>
      <w:r w:rsidRPr="005C7E91">
        <w:rPr>
          <w:sz w:val="24"/>
          <w:szCs w:val="24"/>
        </w:rPr>
        <w:t xml:space="preserve"> and has substantial relationships with school</w:t>
      </w:r>
      <w:r>
        <w:rPr>
          <w:sz w:val="24"/>
          <w:szCs w:val="24"/>
        </w:rPr>
        <w:t xml:space="preserve">s </w:t>
      </w:r>
      <w:r w:rsidRPr="005C7E91">
        <w:rPr>
          <w:sz w:val="24"/>
          <w:szCs w:val="24"/>
        </w:rPr>
        <w:t xml:space="preserve">throughout the country. </w:t>
      </w:r>
    </w:p>
    <w:p w:rsidR="00377CDC" w:rsidRDefault="00377CDC" w:rsidP="00D91FC5">
      <w:pPr>
        <w:spacing w:after="0" w:line="240" w:lineRule="auto"/>
        <w:rPr>
          <w:sz w:val="24"/>
          <w:szCs w:val="24"/>
        </w:rPr>
      </w:pPr>
    </w:p>
    <w:p w:rsidR="00377CDC" w:rsidRPr="00006B3C" w:rsidRDefault="00377CDC" w:rsidP="00006B3C">
      <w:pPr>
        <w:spacing w:after="0" w:line="240" w:lineRule="auto"/>
        <w:rPr>
          <w:sz w:val="24"/>
          <w:szCs w:val="24"/>
          <w:lang w:val="en-US"/>
        </w:rPr>
      </w:pPr>
      <w:r w:rsidRPr="00006B3C">
        <w:rPr>
          <w:sz w:val="24"/>
          <w:szCs w:val="24"/>
        </w:rPr>
        <w:t>Payment for services government expects from group training is principally through the Federal and State Government</w:t>
      </w:r>
      <w:r>
        <w:rPr>
          <w:sz w:val="24"/>
          <w:szCs w:val="24"/>
        </w:rPr>
        <w:t>-</w:t>
      </w:r>
      <w:r w:rsidRPr="00006B3C">
        <w:rPr>
          <w:sz w:val="24"/>
          <w:szCs w:val="24"/>
        </w:rPr>
        <w:t xml:space="preserve">supported Joint Group Training Program (JGTP). This program, </w:t>
      </w:r>
      <w:r w:rsidRPr="00006B3C">
        <w:rPr>
          <w:sz w:val="24"/>
          <w:szCs w:val="24"/>
          <w:lang w:val="en-US"/>
        </w:rPr>
        <w:t>and its various antecedents, has been in existence for more than 25 years. These funds have been the venture capital of group training and have made possible the development of the human and physical capital the network represents today. It is unlikely the impressive outcomes delivered by this network would have been achieved without it.</w:t>
      </w:r>
    </w:p>
    <w:p w:rsidR="00377CDC" w:rsidRPr="005C7E91" w:rsidRDefault="00377CDC" w:rsidP="00D91FC5">
      <w:pPr>
        <w:spacing w:after="0" w:line="240" w:lineRule="auto"/>
        <w:rPr>
          <w:sz w:val="24"/>
          <w:szCs w:val="24"/>
        </w:rPr>
      </w:pPr>
    </w:p>
    <w:p w:rsidR="00377CDC" w:rsidRPr="005C7E91" w:rsidRDefault="00377CDC" w:rsidP="00292BBF">
      <w:pPr>
        <w:spacing w:after="0" w:line="240" w:lineRule="auto"/>
        <w:rPr>
          <w:sz w:val="24"/>
          <w:szCs w:val="24"/>
        </w:rPr>
      </w:pPr>
      <w:r>
        <w:rPr>
          <w:sz w:val="24"/>
          <w:szCs w:val="24"/>
        </w:rPr>
        <w:t xml:space="preserve">The service offering from GTOs has also expanded over this period. </w:t>
      </w:r>
      <w:r w:rsidRPr="005C7E91">
        <w:rPr>
          <w:sz w:val="24"/>
          <w:szCs w:val="24"/>
        </w:rPr>
        <w:t xml:space="preserve">Many GTOs </w:t>
      </w:r>
      <w:r>
        <w:rPr>
          <w:sz w:val="24"/>
          <w:szCs w:val="24"/>
        </w:rPr>
        <w:t xml:space="preserve">now </w:t>
      </w:r>
      <w:r w:rsidRPr="005C7E91">
        <w:rPr>
          <w:sz w:val="24"/>
          <w:szCs w:val="24"/>
        </w:rPr>
        <w:t>provide a range of other workforce development related services such as Registered Training Organisations (RTOs) and Australian Apprenticeships Centres (AACs).  Many are sources of innovation in new ways to serve employer demands for a skilled workforce</w:t>
      </w:r>
      <w:r>
        <w:rPr>
          <w:sz w:val="24"/>
          <w:szCs w:val="24"/>
        </w:rPr>
        <w:t>,</w:t>
      </w:r>
      <w:r w:rsidRPr="005C7E91">
        <w:rPr>
          <w:sz w:val="24"/>
          <w:szCs w:val="24"/>
        </w:rPr>
        <w:t xml:space="preserve"> and</w:t>
      </w:r>
      <w:r>
        <w:rPr>
          <w:sz w:val="24"/>
          <w:szCs w:val="24"/>
        </w:rPr>
        <w:t xml:space="preserve"> for </w:t>
      </w:r>
      <w:r w:rsidRPr="005C7E91">
        <w:rPr>
          <w:sz w:val="24"/>
          <w:szCs w:val="24"/>
        </w:rPr>
        <w:t>government initiatives for meeting skills gaps or engaging marginalised job seekers.</w:t>
      </w:r>
    </w:p>
    <w:p w:rsidR="00377CDC" w:rsidRPr="005C7E91" w:rsidRDefault="00377CDC" w:rsidP="00292BBF">
      <w:pPr>
        <w:spacing w:after="0" w:line="240" w:lineRule="auto"/>
        <w:rPr>
          <w:sz w:val="24"/>
          <w:szCs w:val="24"/>
        </w:rPr>
      </w:pPr>
    </w:p>
    <w:p w:rsidR="00377CDC" w:rsidRPr="005C7E91" w:rsidRDefault="00377CDC" w:rsidP="00292BBF">
      <w:pPr>
        <w:spacing w:after="0" w:line="240" w:lineRule="auto"/>
        <w:rPr>
          <w:sz w:val="24"/>
          <w:szCs w:val="24"/>
        </w:rPr>
      </w:pPr>
      <w:r w:rsidRPr="005C7E91">
        <w:rPr>
          <w:sz w:val="24"/>
          <w:szCs w:val="24"/>
        </w:rPr>
        <w:t xml:space="preserve">Group training has strong links with TAFEs across the country, as the leading public provider of vocational training, and </w:t>
      </w:r>
      <w:r>
        <w:rPr>
          <w:sz w:val="24"/>
          <w:szCs w:val="24"/>
        </w:rPr>
        <w:t xml:space="preserve">the </w:t>
      </w:r>
      <w:r w:rsidRPr="005C7E91">
        <w:rPr>
          <w:sz w:val="24"/>
          <w:szCs w:val="24"/>
        </w:rPr>
        <w:t xml:space="preserve">main </w:t>
      </w:r>
      <w:r>
        <w:rPr>
          <w:sz w:val="24"/>
          <w:szCs w:val="24"/>
        </w:rPr>
        <w:t>vehicle</w:t>
      </w:r>
      <w:r w:rsidRPr="005C7E91">
        <w:rPr>
          <w:sz w:val="24"/>
          <w:szCs w:val="24"/>
        </w:rPr>
        <w:t xml:space="preserve"> for off-the-job training. </w:t>
      </w:r>
    </w:p>
    <w:p w:rsidR="00377CDC" w:rsidRPr="005C7E91" w:rsidRDefault="00377CDC" w:rsidP="00292BBF">
      <w:pPr>
        <w:spacing w:after="0" w:line="240" w:lineRule="auto"/>
        <w:rPr>
          <w:sz w:val="24"/>
          <w:szCs w:val="24"/>
        </w:rPr>
      </w:pPr>
    </w:p>
    <w:p w:rsidR="00377CDC" w:rsidRDefault="00377CDC" w:rsidP="007E259E">
      <w:pPr>
        <w:spacing w:after="0" w:line="240" w:lineRule="auto"/>
        <w:rPr>
          <w:sz w:val="24"/>
          <w:szCs w:val="24"/>
        </w:rPr>
      </w:pPr>
      <w:r w:rsidRPr="005C7E91">
        <w:rPr>
          <w:sz w:val="24"/>
          <w:szCs w:val="24"/>
        </w:rPr>
        <w:t xml:space="preserve">The group training model has shown extraordinary flexibility in dealing with a changing labour market and is particularly well placed to provide enhanced services to government. Areas where group training can assist include workforce development initiatives, </w:t>
      </w:r>
      <w:r>
        <w:rPr>
          <w:sz w:val="24"/>
          <w:szCs w:val="24"/>
        </w:rPr>
        <w:t xml:space="preserve">future </w:t>
      </w:r>
      <w:r w:rsidRPr="005C7E91">
        <w:rPr>
          <w:sz w:val="24"/>
          <w:szCs w:val="24"/>
        </w:rPr>
        <w:t>Australian Apprenticeship</w:t>
      </w:r>
      <w:r>
        <w:rPr>
          <w:sz w:val="24"/>
          <w:szCs w:val="24"/>
        </w:rPr>
        <w:t>s</w:t>
      </w:r>
      <w:r w:rsidRPr="005C7E91">
        <w:rPr>
          <w:sz w:val="24"/>
          <w:szCs w:val="24"/>
        </w:rPr>
        <w:t xml:space="preserve"> Support Services, the National Trade Cadetship program, the National Apprenticeship Program, and measures to address the findings of the National Resource Sector Employment Taskforce.     </w:t>
      </w:r>
    </w:p>
    <w:p w:rsidR="00377CDC" w:rsidRDefault="00377CDC" w:rsidP="007E259E">
      <w:pPr>
        <w:spacing w:after="0" w:line="240" w:lineRule="auto"/>
        <w:rPr>
          <w:sz w:val="24"/>
          <w:szCs w:val="24"/>
        </w:rPr>
      </w:pPr>
    </w:p>
    <w:p w:rsidR="00377CDC" w:rsidRPr="005C7E91" w:rsidRDefault="00377CDC" w:rsidP="007E259E">
      <w:pPr>
        <w:spacing w:after="0" w:line="240" w:lineRule="auto"/>
        <w:rPr>
          <w:sz w:val="24"/>
          <w:szCs w:val="24"/>
        </w:rPr>
      </w:pPr>
      <w:r>
        <w:rPr>
          <w:sz w:val="24"/>
          <w:szCs w:val="24"/>
        </w:rPr>
        <w:t>In conclusion, t</w:t>
      </w:r>
      <w:r w:rsidRPr="00066DA0">
        <w:rPr>
          <w:sz w:val="24"/>
          <w:szCs w:val="24"/>
        </w:rPr>
        <w:t xml:space="preserve">his </w:t>
      </w:r>
      <w:r>
        <w:rPr>
          <w:sz w:val="24"/>
          <w:szCs w:val="24"/>
        </w:rPr>
        <w:t>paper</w:t>
      </w:r>
      <w:r w:rsidRPr="00066DA0">
        <w:rPr>
          <w:sz w:val="24"/>
          <w:szCs w:val="24"/>
        </w:rPr>
        <w:t xml:space="preserve"> has highlighted the many features of the group training network and the </w:t>
      </w:r>
      <w:r>
        <w:rPr>
          <w:sz w:val="24"/>
          <w:szCs w:val="24"/>
        </w:rPr>
        <w:t xml:space="preserve">broad range of </w:t>
      </w:r>
      <w:r w:rsidRPr="00066DA0">
        <w:rPr>
          <w:sz w:val="24"/>
          <w:szCs w:val="24"/>
        </w:rPr>
        <w:t xml:space="preserve">services it offers. </w:t>
      </w:r>
      <w:r>
        <w:rPr>
          <w:sz w:val="24"/>
          <w:szCs w:val="24"/>
        </w:rPr>
        <w:t>It demonstrates the role that group training can play, in partnership with government, in delivering important public policy programs. By continuing to support group training, government has access to a unique community and business network that is able to support its own policy priorities across the V</w:t>
      </w:r>
      <w:r w:rsidRPr="00066DA0">
        <w:rPr>
          <w:sz w:val="24"/>
          <w:szCs w:val="24"/>
        </w:rPr>
        <w:t xml:space="preserve">ET landscape.  </w:t>
      </w:r>
    </w:p>
    <w:p w:rsidR="00377CDC" w:rsidRDefault="00377CDC" w:rsidP="00292BBF">
      <w:pPr>
        <w:spacing w:after="0" w:line="240" w:lineRule="auto"/>
      </w:pPr>
    </w:p>
    <w:p w:rsidR="00377CDC" w:rsidRDefault="00377CDC" w:rsidP="00292BBF">
      <w:pPr>
        <w:spacing w:after="0" w:line="240" w:lineRule="auto"/>
      </w:pPr>
    </w:p>
    <w:p w:rsidR="00377CDC" w:rsidRDefault="00377CDC" w:rsidP="005C7E91">
      <w:pPr>
        <w:spacing w:after="0" w:line="240" w:lineRule="auto"/>
        <w:jc w:val="center"/>
      </w:pPr>
      <w:r>
        <w:t>**********</w:t>
      </w:r>
    </w:p>
    <w:p w:rsidR="00377CDC" w:rsidRDefault="00377CDC" w:rsidP="005C7E91">
      <w:pPr>
        <w:spacing w:after="0" w:line="240" w:lineRule="auto"/>
        <w:jc w:val="center"/>
      </w:pPr>
    </w:p>
    <w:p w:rsidR="00377CDC" w:rsidRDefault="00377CDC" w:rsidP="00B11701">
      <w:pPr>
        <w:spacing w:after="0" w:line="240" w:lineRule="auto"/>
        <w:rPr>
          <w:lang w:val="en-US"/>
        </w:rPr>
      </w:pPr>
    </w:p>
    <w:sectPr w:rsidR="00377CDC" w:rsidSect="002A5CF6">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D9E" w:rsidRDefault="008E6D9E" w:rsidP="009427FF">
      <w:pPr>
        <w:spacing w:after="0" w:line="240" w:lineRule="auto"/>
      </w:pPr>
      <w:r>
        <w:separator/>
      </w:r>
    </w:p>
  </w:endnote>
  <w:endnote w:type="continuationSeparator" w:id="0">
    <w:p w:rsidR="008E6D9E" w:rsidRDefault="008E6D9E" w:rsidP="0094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LegacySan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CDC" w:rsidRDefault="00426A95" w:rsidP="004F1488">
    <w:pPr>
      <w:pStyle w:val="Footer"/>
      <w:framePr w:wrap="around" w:vAnchor="text" w:hAnchor="margin" w:xAlign="right" w:y="1"/>
      <w:rPr>
        <w:rStyle w:val="PageNumber"/>
      </w:rPr>
    </w:pPr>
    <w:r>
      <w:rPr>
        <w:rStyle w:val="PageNumber"/>
      </w:rPr>
      <w:fldChar w:fldCharType="begin"/>
    </w:r>
    <w:r w:rsidR="00377CDC">
      <w:rPr>
        <w:rStyle w:val="PageNumber"/>
      </w:rPr>
      <w:instrText xml:space="preserve">PAGE  </w:instrText>
    </w:r>
    <w:r>
      <w:rPr>
        <w:rStyle w:val="PageNumber"/>
      </w:rPr>
      <w:fldChar w:fldCharType="end"/>
    </w:r>
  </w:p>
  <w:p w:rsidR="00377CDC" w:rsidRDefault="00377CDC" w:rsidP="00CB45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CDC" w:rsidRDefault="00426A95" w:rsidP="004F1488">
    <w:pPr>
      <w:pStyle w:val="Footer"/>
      <w:framePr w:wrap="around" w:vAnchor="text" w:hAnchor="margin" w:xAlign="right" w:y="1"/>
      <w:rPr>
        <w:rStyle w:val="PageNumber"/>
      </w:rPr>
    </w:pPr>
    <w:r>
      <w:rPr>
        <w:rStyle w:val="PageNumber"/>
      </w:rPr>
      <w:fldChar w:fldCharType="begin"/>
    </w:r>
    <w:r w:rsidR="00377CDC">
      <w:rPr>
        <w:rStyle w:val="PageNumber"/>
      </w:rPr>
      <w:instrText xml:space="preserve">PAGE  </w:instrText>
    </w:r>
    <w:r>
      <w:rPr>
        <w:rStyle w:val="PageNumber"/>
      </w:rPr>
      <w:fldChar w:fldCharType="separate"/>
    </w:r>
    <w:r w:rsidR="0009776F">
      <w:rPr>
        <w:rStyle w:val="PageNumber"/>
        <w:noProof/>
      </w:rPr>
      <w:t>1</w:t>
    </w:r>
    <w:r>
      <w:rPr>
        <w:rStyle w:val="PageNumber"/>
      </w:rPr>
      <w:fldChar w:fldCharType="end"/>
    </w:r>
  </w:p>
  <w:p w:rsidR="00377CDC" w:rsidRDefault="00377CDC" w:rsidP="00CB45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D9E" w:rsidRDefault="008E6D9E" w:rsidP="009427FF">
      <w:pPr>
        <w:spacing w:after="0" w:line="240" w:lineRule="auto"/>
      </w:pPr>
      <w:r>
        <w:separator/>
      </w:r>
    </w:p>
  </w:footnote>
  <w:footnote w:type="continuationSeparator" w:id="0">
    <w:p w:rsidR="008E6D9E" w:rsidRDefault="008E6D9E" w:rsidP="00942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4041"/>
    <w:multiLevelType w:val="hybridMultilevel"/>
    <w:tmpl w:val="6C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71BCA"/>
    <w:multiLevelType w:val="hybridMultilevel"/>
    <w:tmpl w:val="959649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E7F622F"/>
    <w:multiLevelType w:val="hybridMultilevel"/>
    <w:tmpl w:val="BF9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A057F"/>
    <w:multiLevelType w:val="hybridMultilevel"/>
    <w:tmpl w:val="156646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7700"/>
    <w:rsid w:val="00003B7C"/>
    <w:rsid w:val="00006B3C"/>
    <w:rsid w:val="00026C67"/>
    <w:rsid w:val="00034FA3"/>
    <w:rsid w:val="00042435"/>
    <w:rsid w:val="00055D3D"/>
    <w:rsid w:val="00066DA0"/>
    <w:rsid w:val="000768E4"/>
    <w:rsid w:val="0009776F"/>
    <w:rsid w:val="000B34E0"/>
    <w:rsid w:val="000B3F22"/>
    <w:rsid w:val="000C4A15"/>
    <w:rsid w:val="000D1E62"/>
    <w:rsid w:val="000E4E14"/>
    <w:rsid w:val="0010195E"/>
    <w:rsid w:val="00102508"/>
    <w:rsid w:val="00104D82"/>
    <w:rsid w:val="00110165"/>
    <w:rsid w:val="00123247"/>
    <w:rsid w:val="00126300"/>
    <w:rsid w:val="00134990"/>
    <w:rsid w:val="00137716"/>
    <w:rsid w:val="0017135B"/>
    <w:rsid w:val="00171B50"/>
    <w:rsid w:val="001C52F3"/>
    <w:rsid w:val="001D79D4"/>
    <w:rsid w:val="001E07C5"/>
    <w:rsid w:val="001E4078"/>
    <w:rsid w:val="001F3496"/>
    <w:rsid w:val="002102E4"/>
    <w:rsid w:val="002133C3"/>
    <w:rsid w:val="00214E33"/>
    <w:rsid w:val="002273C8"/>
    <w:rsid w:val="00246C9C"/>
    <w:rsid w:val="002621A0"/>
    <w:rsid w:val="00286191"/>
    <w:rsid w:val="00292BBF"/>
    <w:rsid w:val="00297BD9"/>
    <w:rsid w:val="002A5CF6"/>
    <w:rsid w:val="002B2509"/>
    <w:rsid w:val="002B4BFC"/>
    <w:rsid w:val="003148C1"/>
    <w:rsid w:val="003173AC"/>
    <w:rsid w:val="00320F71"/>
    <w:rsid w:val="0033359D"/>
    <w:rsid w:val="00352FED"/>
    <w:rsid w:val="0035711C"/>
    <w:rsid w:val="00363AC2"/>
    <w:rsid w:val="003711AA"/>
    <w:rsid w:val="00377CDC"/>
    <w:rsid w:val="003E2CFE"/>
    <w:rsid w:val="003E63E4"/>
    <w:rsid w:val="003F6ACA"/>
    <w:rsid w:val="00403670"/>
    <w:rsid w:val="0041224A"/>
    <w:rsid w:val="00426A95"/>
    <w:rsid w:val="004633D8"/>
    <w:rsid w:val="00470348"/>
    <w:rsid w:val="00476BEF"/>
    <w:rsid w:val="00482376"/>
    <w:rsid w:val="00486871"/>
    <w:rsid w:val="004A1DE9"/>
    <w:rsid w:val="004D3507"/>
    <w:rsid w:val="004E7051"/>
    <w:rsid w:val="004F13B9"/>
    <w:rsid w:val="004F1488"/>
    <w:rsid w:val="00526150"/>
    <w:rsid w:val="005827A8"/>
    <w:rsid w:val="0058283C"/>
    <w:rsid w:val="00583440"/>
    <w:rsid w:val="005861CC"/>
    <w:rsid w:val="0059119A"/>
    <w:rsid w:val="00596689"/>
    <w:rsid w:val="005A0CA7"/>
    <w:rsid w:val="005A3E3B"/>
    <w:rsid w:val="005B1FF5"/>
    <w:rsid w:val="005B2E10"/>
    <w:rsid w:val="005B50EA"/>
    <w:rsid w:val="005C7E91"/>
    <w:rsid w:val="005D5368"/>
    <w:rsid w:val="005D6BF1"/>
    <w:rsid w:val="005E0E22"/>
    <w:rsid w:val="005E39D6"/>
    <w:rsid w:val="005F06A4"/>
    <w:rsid w:val="005F7019"/>
    <w:rsid w:val="00605F95"/>
    <w:rsid w:val="0061121F"/>
    <w:rsid w:val="00636240"/>
    <w:rsid w:val="006411E2"/>
    <w:rsid w:val="00641ED2"/>
    <w:rsid w:val="00656476"/>
    <w:rsid w:val="00656E73"/>
    <w:rsid w:val="00676612"/>
    <w:rsid w:val="006827C1"/>
    <w:rsid w:val="006A16D8"/>
    <w:rsid w:val="006A50F4"/>
    <w:rsid w:val="006B0861"/>
    <w:rsid w:val="006B7B1B"/>
    <w:rsid w:val="006C51FE"/>
    <w:rsid w:val="006D5E5B"/>
    <w:rsid w:val="006E7E19"/>
    <w:rsid w:val="006F4D5E"/>
    <w:rsid w:val="00713980"/>
    <w:rsid w:val="00720EC4"/>
    <w:rsid w:val="00742166"/>
    <w:rsid w:val="00743B8F"/>
    <w:rsid w:val="00750A82"/>
    <w:rsid w:val="00751826"/>
    <w:rsid w:val="007623C9"/>
    <w:rsid w:val="0076635D"/>
    <w:rsid w:val="00776152"/>
    <w:rsid w:val="00791472"/>
    <w:rsid w:val="007D643F"/>
    <w:rsid w:val="007E259E"/>
    <w:rsid w:val="007E7ED3"/>
    <w:rsid w:val="007E7FAF"/>
    <w:rsid w:val="00816A51"/>
    <w:rsid w:val="00816D38"/>
    <w:rsid w:val="00824835"/>
    <w:rsid w:val="00834B4A"/>
    <w:rsid w:val="00835F5F"/>
    <w:rsid w:val="00893828"/>
    <w:rsid w:val="00893CBA"/>
    <w:rsid w:val="008C6357"/>
    <w:rsid w:val="008E12A1"/>
    <w:rsid w:val="008E6D9E"/>
    <w:rsid w:val="008F43E2"/>
    <w:rsid w:val="0092432C"/>
    <w:rsid w:val="009253AD"/>
    <w:rsid w:val="0093494D"/>
    <w:rsid w:val="009427FF"/>
    <w:rsid w:val="009474A3"/>
    <w:rsid w:val="0095052B"/>
    <w:rsid w:val="00953F31"/>
    <w:rsid w:val="00986557"/>
    <w:rsid w:val="009A0695"/>
    <w:rsid w:val="009C2F38"/>
    <w:rsid w:val="009D41D3"/>
    <w:rsid w:val="009D7D43"/>
    <w:rsid w:val="009E25F4"/>
    <w:rsid w:val="00A01D43"/>
    <w:rsid w:val="00A22E1C"/>
    <w:rsid w:val="00A244E9"/>
    <w:rsid w:val="00A2780F"/>
    <w:rsid w:val="00A46957"/>
    <w:rsid w:val="00A52C4F"/>
    <w:rsid w:val="00A60062"/>
    <w:rsid w:val="00A6797A"/>
    <w:rsid w:val="00AC6A39"/>
    <w:rsid w:val="00B01B81"/>
    <w:rsid w:val="00B032AF"/>
    <w:rsid w:val="00B043D3"/>
    <w:rsid w:val="00B06A39"/>
    <w:rsid w:val="00B11701"/>
    <w:rsid w:val="00B21EC7"/>
    <w:rsid w:val="00B248C7"/>
    <w:rsid w:val="00B4718A"/>
    <w:rsid w:val="00B47DCD"/>
    <w:rsid w:val="00B66D15"/>
    <w:rsid w:val="00B70279"/>
    <w:rsid w:val="00B95DEE"/>
    <w:rsid w:val="00BB74A0"/>
    <w:rsid w:val="00BB7FB4"/>
    <w:rsid w:val="00BC07D9"/>
    <w:rsid w:val="00BE5D44"/>
    <w:rsid w:val="00BF1591"/>
    <w:rsid w:val="00C133A9"/>
    <w:rsid w:val="00C13815"/>
    <w:rsid w:val="00C16560"/>
    <w:rsid w:val="00C2712E"/>
    <w:rsid w:val="00C4000E"/>
    <w:rsid w:val="00C42BA5"/>
    <w:rsid w:val="00C61538"/>
    <w:rsid w:val="00C66AAA"/>
    <w:rsid w:val="00C706E4"/>
    <w:rsid w:val="00C81613"/>
    <w:rsid w:val="00C9030F"/>
    <w:rsid w:val="00C91184"/>
    <w:rsid w:val="00C91FB8"/>
    <w:rsid w:val="00C93112"/>
    <w:rsid w:val="00C94A22"/>
    <w:rsid w:val="00CA4015"/>
    <w:rsid w:val="00CB45D6"/>
    <w:rsid w:val="00CC5786"/>
    <w:rsid w:val="00CC5FE2"/>
    <w:rsid w:val="00CD2F0D"/>
    <w:rsid w:val="00CD39FB"/>
    <w:rsid w:val="00CD4DB5"/>
    <w:rsid w:val="00CF62C6"/>
    <w:rsid w:val="00D050DA"/>
    <w:rsid w:val="00D21612"/>
    <w:rsid w:val="00D21D6D"/>
    <w:rsid w:val="00D225CF"/>
    <w:rsid w:val="00D27858"/>
    <w:rsid w:val="00D27AB9"/>
    <w:rsid w:val="00D35F35"/>
    <w:rsid w:val="00D43909"/>
    <w:rsid w:val="00D570FC"/>
    <w:rsid w:val="00D67700"/>
    <w:rsid w:val="00D743F4"/>
    <w:rsid w:val="00D91FC5"/>
    <w:rsid w:val="00D94B2D"/>
    <w:rsid w:val="00D967B4"/>
    <w:rsid w:val="00DA016B"/>
    <w:rsid w:val="00DA0810"/>
    <w:rsid w:val="00DA5D4C"/>
    <w:rsid w:val="00DB5CE3"/>
    <w:rsid w:val="00DE4125"/>
    <w:rsid w:val="00E14731"/>
    <w:rsid w:val="00E219CB"/>
    <w:rsid w:val="00E240B8"/>
    <w:rsid w:val="00E36030"/>
    <w:rsid w:val="00E541C5"/>
    <w:rsid w:val="00E656C3"/>
    <w:rsid w:val="00E73114"/>
    <w:rsid w:val="00E73646"/>
    <w:rsid w:val="00E8036D"/>
    <w:rsid w:val="00EA7359"/>
    <w:rsid w:val="00ED0774"/>
    <w:rsid w:val="00EE1ADE"/>
    <w:rsid w:val="00EE7FF8"/>
    <w:rsid w:val="00F05ABB"/>
    <w:rsid w:val="00F16472"/>
    <w:rsid w:val="00F467E4"/>
    <w:rsid w:val="00F473DD"/>
    <w:rsid w:val="00F52BE2"/>
    <w:rsid w:val="00F9547F"/>
    <w:rsid w:val="00FA201D"/>
    <w:rsid w:val="00FD4337"/>
    <w:rsid w:val="00FD573A"/>
    <w:rsid w:val="00FE1A3B"/>
    <w:rsid w:val="00FE40AA"/>
    <w:rsid w:val="00FF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2"/>
    <o:shapelayout v:ext="edit">
      <o:idmap v:ext="edit" data="1"/>
      <o:rules v:ext="edit">
        <o:r id="V:Rule1" type="connector" idref="#_x0000_s1026"/>
        <o:r id="V:Rule2" type="connector" idref="#_x0000_s1030"/>
        <o:r id="V:Rule3" type="connector" idref="#_x0000_s1028"/>
        <o:r id="V:Rule4"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F6"/>
    <w:pPr>
      <w:spacing w:after="200" w:line="276" w:lineRule="auto"/>
    </w:pPr>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67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7700"/>
    <w:rPr>
      <w:rFonts w:ascii="Tahoma" w:hAnsi="Tahoma" w:cs="Tahoma"/>
      <w:sz w:val="16"/>
      <w:szCs w:val="16"/>
    </w:rPr>
  </w:style>
  <w:style w:type="paragraph" w:styleId="Header">
    <w:name w:val="header"/>
    <w:basedOn w:val="Normal"/>
    <w:link w:val="HeaderChar"/>
    <w:uiPriority w:val="99"/>
    <w:semiHidden/>
    <w:rsid w:val="009427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427FF"/>
    <w:rPr>
      <w:rFonts w:cs="Times New Roman"/>
    </w:rPr>
  </w:style>
  <w:style w:type="paragraph" w:styleId="Footer">
    <w:name w:val="footer"/>
    <w:basedOn w:val="Normal"/>
    <w:link w:val="FooterChar"/>
    <w:uiPriority w:val="99"/>
    <w:semiHidden/>
    <w:rsid w:val="009427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9427FF"/>
    <w:rPr>
      <w:rFonts w:cs="Times New Roman"/>
    </w:rPr>
  </w:style>
  <w:style w:type="character" w:styleId="PageNumber">
    <w:name w:val="page number"/>
    <w:basedOn w:val="DefaultParagraphFont"/>
    <w:uiPriority w:val="99"/>
    <w:rsid w:val="00CB45D6"/>
    <w:rPr>
      <w:rFonts w:cs="Times New Roman"/>
    </w:rPr>
  </w:style>
  <w:style w:type="paragraph" w:styleId="ListParagraph">
    <w:name w:val="List Paragraph"/>
    <w:basedOn w:val="Normal"/>
    <w:uiPriority w:val="99"/>
    <w:qFormat/>
    <w:rsid w:val="008F43E2"/>
    <w:pPr>
      <w:ind w:left="720"/>
      <w:contextualSpacing/>
    </w:pPr>
  </w:style>
  <w:style w:type="table" w:styleId="TableGrid">
    <w:name w:val="Table Grid"/>
    <w:basedOn w:val="TableNormal"/>
    <w:uiPriority w:val="99"/>
    <w:locked/>
    <w:rsid w:val="00FA20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9B9BFD-AE37-4554-8B6E-C99538A00A02}" type="doc">
      <dgm:prSet loTypeId="urn:microsoft.com/office/officeart/2005/8/layout/hList1" loCatId="list" qsTypeId="urn:microsoft.com/office/officeart/2005/8/quickstyle/3d1" qsCatId="3D" csTypeId="urn:microsoft.com/office/officeart/2005/8/colors/accent1_2#1" csCatId="accent1" phldr="1"/>
      <dgm:spPr/>
      <dgm:t>
        <a:bodyPr/>
        <a:lstStyle/>
        <a:p>
          <a:endParaRPr lang="en-AU"/>
        </a:p>
      </dgm:t>
    </dgm:pt>
    <dgm:pt modelId="{647872F7-D1FE-4662-ACD4-AF3F261D7B44}">
      <dgm:prSet phldrT="[Text]"/>
      <dgm:spPr/>
      <dgm:t>
        <a:bodyPr/>
        <a:lstStyle/>
        <a:p>
          <a:r>
            <a:rPr lang="en-AU"/>
            <a:t>Supply</a:t>
          </a:r>
        </a:p>
      </dgm:t>
    </dgm:pt>
    <dgm:pt modelId="{6D3E369D-C2B1-4726-901C-0D292255F2FF}" type="parTrans" cxnId="{3ABC1A38-335B-4DBB-8341-D4E1F0B320C3}">
      <dgm:prSet/>
      <dgm:spPr/>
      <dgm:t>
        <a:bodyPr/>
        <a:lstStyle/>
        <a:p>
          <a:endParaRPr lang="en-AU"/>
        </a:p>
      </dgm:t>
    </dgm:pt>
    <dgm:pt modelId="{F8DD8A6D-E45C-41C7-8FF8-81C54CD6C4F3}" type="sibTrans" cxnId="{3ABC1A38-335B-4DBB-8341-D4E1F0B320C3}">
      <dgm:prSet/>
      <dgm:spPr/>
      <dgm:t>
        <a:bodyPr/>
        <a:lstStyle/>
        <a:p>
          <a:endParaRPr lang="en-AU"/>
        </a:p>
      </dgm:t>
    </dgm:pt>
    <dgm:pt modelId="{E1DAE1E9-9477-4568-865C-0D87099E77DF}">
      <dgm:prSet phldrT="[Text]" custT="1"/>
      <dgm:spPr/>
      <dgm:t>
        <a:bodyPr/>
        <a:lstStyle/>
        <a:p>
          <a:r>
            <a:rPr lang="en-AU" sz="1800"/>
            <a:t>School</a:t>
          </a:r>
        </a:p>
      </dgm:t>
    </dgm:pt>
    <dgm:pt modelId="{5B9BB8DC-3FD7-4165-BCA8-28B2D3165023}" type="parTrans" cxnId="{71DC04E9-DE45-43EF-A33C-2F695EABA7E6}">
      <dgm:prSet/>
      <dgm:spPr/>
      <dgm:t>
        <a:bodyPr/>
        <a:lstStyle/>
        <a:p>
          <a:endParaRPr lang="en-AU"/>
        </a:p>
      </dgm:t>
    </dgm:pt>
    <dgm:pt modelId="{C4DC5A95-88FE-450B-B30B-B57C07989E3C}" type="sibTrans" cxnId="{71DC04E9-DE45-43EF-A33C-2F695EABA7E6}">
      <dgm:prSet/>
      <dgm:spPr/>
      <dgm:t>
        <a:bodyPr/>
        <a:lstStyle/>
        <a:p>
          <a:endParaRPr lang="en-AU"/>
        </a:p>
      </dgm:t>
    </dgm:pt>
    <dgm:pt modelId="{1F3D9D76-DC7B-428C-BDC9-26A90E0BD4CD}">
      <dgm:prSet phldrT="[Text]" custT="1"/>
      <dgm:spPr/>
      <dgm:t>
        <a:bodyPr/>
        <a:lstStyle/>
        <a:p>
          <a:r>
            <a:rPr lang="en-AU" sz="1800"/>
            <a:t>Unemployed </a:t>
          </a:r>
        </a:p>
      </dgm:t>
    </dgm:pt>
    <dgm:pt modelId="{C5E3440C-0115-4D3B-8D46-D22F45AA3396}" type="parTrans" cxnId="{8A8324B5-9106-48F1-9B00-954FD8F43FB4}">
      <dgm:prSet/>
      <dgm:spPr/>
      <dgm:t>
        <a:bodyPr/>
        <a:lstStyle/>
        <a:p>
          <a:endParaRPr lang="en-AU"/>
        </a:p>
      </dgm:t>
    </dgm:pt>
    <dgm:pt modelId="{6EF844F6-4DFA-4C73-B3BC-67210AABFC1F}" type="sibTrans" cxnId="{8A8324B5-9106-48F1-9B00-954FD8F43FB4}">
      <dgm:prSet/>
      <dgm:spPr/>
      <dgm:t>
        <a:bodyPr/>
        <a:lstStyle/>
        <a:p>
          <a:endParaRPr lang="en-AU"/>
        </a:p>
      </dgm:t>
    </dgm:pt>
    <dgm:pt modelId="{6EA64EF0-00CC-4C1D-94A1-398AF7D9DA21}">
      <dgm:prSet phldrT="[Text]"/>
      <dgm:spPr/>
      <dgm:t>
        <a:bodyPr/>
        <a:lstStyle/>
        <a:p>
          <a:r>
            <a:rPr lang="en-AU"/>
            <a:t>Conversion</a:t>
          </a:r>
        </a:p>
      </dgm:t>
    </dgm:pt>
    <dgm:pt modelId="{12C532AC-727E-4B60-8CE1-971AFCBEC766}" type="parTrans" cxnId="{0C693805-582A-452E-9F47-09B46C86D3BD}">
      <dgm:prSet/>
      <dgm:spPr/>
      <dgm:t>
        <a:bodyPr/>
        <a:lstStyle/>
        <a:p>
          <a:endParaRPr lang="en-AU"/>
        </a:p>
      </dgm:t>
    </dgm:pt>
    <dgm:pt modelId="{CA5DB575-A05D-40EC-A56B-7B006D4685ED}" type="sibTrans" cxnId="{0C693805-582A-452E-9F47-09B46C86D3BD}">
      <dgm:prSet/>
      <dgm:spPr/>
      <dgm:t>
        <a:bodyPr/>
        <a:lstStyle/>
        <a:p>
          <a:endParaRPr lang="en-AU"/>
        </a:p>
      </dgm:t>
    </dgm:pt>
    <dgm:pt modelId="{6878B37E-C243-4467-A05A-B28F259D81F6}">
      <dgm:prSet phldrT="[Text]" custT="1"/>
      <dgm:spPr/>
      <dgm:t>
        <a:bodyPr/>
        <a:lstStyle/>
        <a:p>
          <a:r>
            <a:rPr lang="en-AU" sz="1800"/>
            <a:t>TAFE </a:t>
          </a:r>
        </a:p>
      </dgm:t>
    </dgm:pt>
    <dgm:pt modelId="{DF805058-E167-4E24-A528-9F0EAD6E2925}" type="parTrans" cxnId="{CC3A21CB-EF9E-425C-AFFA-1BC62CC171EE}">
      <dgm:prSet/>
      <dgm:spPr/>
      <dgm:t>
        <a:bodyPr/>
        <a:lstStyle/>
        <a:p>
          <a:endParaRPr lang="en-AU"/>
        </a:p>
      </dgm:t>
    </dgm:pt>
    <dgm:pt modelId="{82983282-10DF-4623-ABF9-D7157D0E26B6}" type="sibTrans" cxnId="{CC3A21CB-EF9E-425C-AFFA-1BC62CC171EE}">
      <dgm:prSet/>
      <dgm:spPr/>
      <dgm:t>
        <a:bodyPr/>
        <a:lstStyle/>
        <a:p>
          <a:endParaRPr lang="en-AU"/>
        </a:p>
      </dgm:t>
    </dgm:pt>
    <dgm:pt modelId="{8859BF87-6039-4BCF-8489-1C6AF929CECB}">
      <dgm:prSet phldrT="[Text]" custT="1"/>
      <dgm:spPr/>
      <dgm:t>
        <a:bodyPr/>
        <a:lstStyle/>
        <a:p>
          <a:r>
            <a:rPr lang="en-AU" sz="1800"/>
            <a:t>RTOs            </a:t>
          </a:r>
        </a:p>
      </dgm:t>
    </dgm:pt>
    <dgm:pt modelId="{03402D5F-CC26-43F8-87E1-9B7B919C39BA}" type="parTrans" cxnId="{498435AE-9C0A-48B9-A39F-F1F0E009BE4D}">
      <dgm:prSet/>
      <dgm:spPr/>
      <dgm:t>
        <a:bodyPr/>
        <a:lstStyle/>
        <a:p>
          <a:endParaRPr lang="en-AU"/>
        </a:p>
      </dgm:t>
    </dgm:pt>
    <dgm:pt modelId="{51FE91EB-CE4A-438D-98CF-331B4B99F2E7}" type="sibTrans" cxnId="{498435AE-9C0A-48B9-A39F-F1F0E009BE4D}">
      <dgm:prSet/>
      <dgm:spPr/>
      <dgm:t>
        <a:bodyPr/>
        <a:lstStyle/>
        <a:p>
          <a:endParaRPr lang="en-AU"/>
        </a:p>
      </dgm:t>
    </dgm:pt>
    <dgm:pt modelId="{6BD4FAEA-7E7B-4499-9335-1E1D7F05F66E}">
      <dgm:prSet phldrT="[Text]"/>
      <dgm:spPr/>
      <dgm:t>
        <a:bodyPr/>
        <a:lstStyle/>
        <a:p>
          <a:r>
            <a:rPr lang="en-AU"/>
            <a:t>Demand</a:t>
          </a:r>
        </a:p>
      </dgm:t>
    </dgm:pt>
    <dgm:pt modelId="{70FB1E29-ABE6-450E-A0D1-F8359D580E29}" type="parTrans" cxnId="{04EF527A-0E2E-4F45-A626-89526DED8DEE}">
      <dgm:prSet/>
      <dgm:spPr/>
      <dgm:t>
        <a:bodyPr/>
        <a:lstStyle/>
        <a:p>
          <a:endParaRPr lang="en-AU"/>
        </a:p>
      </dgm:t>
    </dgm:pt>
    <dgm:pt modelId="{582DAABB-494F-4987-9767-D069C27F878A}" type="sibTrans" cxnId="{04EF527A-0E2E-4F45-A626-89526DED8DEE}">
      <dgm:prSet/>
      <dgm:spPr/>
      <dgm:t>
        <a:bodyPr/>
        <a:lstStyle/>
        <a:p>
          <a:endParaRPr lang="en-AU"/>
        </a:p>
      </dgm:t>
    </dgm:pt>
    <dgm:pt modelId="{E5BED06F-C836-4DF7-824E-B860502FAB8A}">
      <dgm:prSet phldrT="[Text]" custT="1"/>
      <dgm:spPr/>
      <dgm:t>
        <a:bodyPr/>
        <a:lstStyle/>
        <a:p>
          <a:r>
            <a:rPr lang="en-AU" sz="1800"/>
            <a:t>Employers</a:t>
          </a:r>
        </a:p>
      </dgm:t>
    </dgm:pt>
    <dgm:pt modelId="{8A649620-A4A0-469A-9A02-971B13ECE7A2}" type="parTrans" cxnId="{3D38AEC2-90B5-4623-AD45-11CB9ABC2EC2}">
      <dgm:prSet/>
      <dgm:spPr/>
      <dgm:t>
        <a:bodyPr/>
        <a:lstStyle/>
        <a:p>
          <a:endParaRPr lang="en-AU"/>
        </a:p>
      </dgm:t>
    </dgm:pt>
    <dgm:pt modelId="{628D522B-E9CB-406B-B046-9A647A8BF93B}" type="sibTrans" cxnId="{3D38AEC2-90B5-4623-AD45-11CB9ABC2EC2}">
      <dgm:prSet/>
      <dgm:spPr/>
      <dgm:t>
        <a:bodyPr/>
        <a:lstStyle/>
        <a:p>
          <a:endParaRPr lang="en-AU"/>
        </a:p>
      </dgm:t>
    </dgm:pt>
    <dgm:pt modelId="{BC3CBF1A-2644-4F99-86BF-ED395E4E96EC}">
      <dgm:prSet phldrT="[Text]" custT="1"/>
      <dgm:spPr/>
      <dgm:t>
        <a:bodyPr/>
        <a:lstStyle/>
        <a:p>
          <a:r>
            <a:rPr lang="en-AU" sz="1800"/>
            <a:t>Indigenous</a:t>
          </a:r>
        </a:p>
      </dgm:t>
    </dgm:pt>
    <dgm:pt modelId="{FAFD11B1-5C19-4F9D-AB82-8EABE75688AE}" type="parTrans" cxnId="{28A3C01D-34C9-4806-B673-10CBAE4A56D6}">
      <dgm:prSet/>
      <dgm:spPr/>
      <dgm:t>
        <a:bodyPr/>
        <a:lstStyle/>
        <a:p>
          <a:endParaRPr lang="en-AU"/>
        </a:p>
      </dgm:t>
    </dgm:pt>
    <dgm:pt modelId="{5C2156C1-2BB1-45A8-88AD-596F44390595}" type="sibTrans" cxnId="{28A3C01D-34C9-4806-B673-10CBAE4A56D6}">
      <dgm:prSet/>
      <dgm:spPr/>
      <dgm:t>
        <a:bodyPr/>
        <a:lstStyle/>
        <a:p>
          <a:endParaRPr lang="en-AU"/>
        </a:p>
      </dgm:t>
    </dgm:pt>
    <dgm:pt modelId="{77043BDE-ADEC-4D73-B747-F283EACEB44C}">
      <dgm:prSet phldrT="[Text]" custT="1"/>
      <dgm:spPr/>
      <dgm:t>
        <a:bodyPr/>
        <a:lstStyle/>
        <a:p>
          <a:r>
            <a:rPr lang="en-AU" sz="1800"/>
            <a:t>Adult </a:t>
          </a:r>
        </a:p>
      </dgm:t>
    </dgm:pt>
    <dgm:pt modelId="{6CB8FD06-86CB-4E77-B129-20C48AD908BF}" type="parTrans" cxnId="{7D79AB9F-9152-4415-A4D3-E63CBD9D4AF7}">
      <dgm:prSet/>
      <dgm:spPr/>
      <dgm:t>
        <a:bodyPr/>
        <a:lstStyle/>
        <a:p>
          <a:endParaRPr lang="en-AU"/>
        </a:p>
      </dgm:t>
    </dgm:pt>
    <dgm:pt modelId="{6126B6E9-B141-4C96-B0FD-F668FD6D407D}" type="sibTrans" cxnId="{7D79AB9F-9152-4415-A4D3-E63CBD9D4AF7}">
      <dgm:prSet/>
      <dgm:spPr/>
      <dgm:t>
        <a:bodyPr/>
        <a:lstStyle/>
        <a:p>
          <a:endParaRPr lang="en-AU"/>
        </a:p>
      </dgm:t>
    </dgm:pt>
    <dgm:pt modelId="{21AFEC2A-C37D-48B4-8EC9-7A043977E902}">
      <dgm:prSet phldrT="[Text]" custT="1"/>
      <dgm:spPr/>
      <dgm:t>
        <a:bodyPr/>
        <a:lstStyle/>
        <a:p>
          <a:r>
            <a:rPr lang="en-AU" sz="1800"/>
            <a:t>Disability </a:t>
          </a:r>
        </a:p>
      </dgm:t>
    </dgm:pt>
    <dgm:pt modelId="{2355980B-9138-4D6F-B274-BA10BB755FDD}" type="parTrans" cxnId="{BAEBED36-C762-4E4D-8210-2A3F84C60295}">
      <dgm:prSet/>
      <dgm:spPr/>
      <dgm:t>
        <a:bodyPr/>
        <a:lstStyle/>
        <a:p>
          <a:endParaRPr lang="en-AU"/>
        </a:p>
      </dgm:t>
    </dgm:pt>
    <dgm:pt modelId="{63BCC19A-4409-4F0A-B67F-0100FCD56EA2}" type="sibTrans" cxnId="{BAEBED36-C762-4E4D-8210-2A3F84C60295}">
      <dgm:prSet/>
      <dgm:spPr/>
      <dgm:t>
        <a:bodyPr/>
        <a:lstStyle/>
        <a:p>
          <a:endParaRPr lang="en-AU"/>
        </a:p>
      </dgm:t>
    </dgm:pt>
    <dgm:pt modelId="{739A8334-0CB7-40A3-92FA-6AC1524A07F5}" type="pres">
      <dgm:prSet presAssocID="{5A9B9BFD-AE37-4554-8B6E-C99538A00A02}" presName="Name0" presStyleCnt="0">
        <dgm:presLayoutVars>
          <dgm:dir/>
          <dgm:animLvl val="lvl"/>
          <dgm:resizeHandles val="exact"/>
        </dgm:presLayoutVars>
      </dgm:prSet>
      <dgm:spPr/>
      <dgm:t>
        <a:bodyPr/>
        <a:lstStyle/>
        <a:p>
          <a:endParaRPr lang="en-US"/>
        </a:p>
      </dgm:t>
    </dgm:pt>
    <dgm:pt modelId="{1DB4E24D-1684-4216-A517-04CC1FDE3F4A}" type="pres">
      <dgm:prSet presAssocID="{647872F7-D1FE-4662-ACD4-AF3F261D7B44}" presName="composite" presStyleCnt="0"/>
      <dgm:spPr/>
    </dgm:pt>
    <dgm:pt modelId="{77F76DF9-69DA-443C-BEDC-6C0367A0CDB7}" type="pres">
      <dgm:prSet presAssocID="{647872F7-D1FE-4662-ACD4-AF3F261D7B44}" presName="parTx" presStyleLbl="alignNode1" presStyleIdx="0" presStyleCnt="3">
        <dgm:presLayoutVars>
          <dgm:chMax val="0"/>
          <dgm:chPref val="0"/>
          <dgm:bulletEnabled val="1"/>
        </dgm:presLayoutVars>
      </dgm:prSet>
      <dgm:spPr/>
      <dgm:t>
        <a:bodyPr/>
        <a:lstStyle/>
        <a:p>
          <a:endParaRPr lang="en-AU"/>
        </a:p>
      </dgm:t>
    </dgm:pt>
    <dgm:pt modelId="{0E0BFD9D-DB30-436C-A9B2-D904C81ECBF5}" type="pres">
      <dgm:prSet presAssocID="{647872F7-D1FE-4662-ACD4-AF3F261D7B44}" presName="desTx" presStyleLbl="alignAccFollowNode1" presStyleIdx="0" presStyleCnt="3" custScaleY="99647">
        <dgm:presLayoutVars>
          <dgm:bulletEnabled val="1"/>
        </dgm:presLayoutVars>
      </dgm:prSet>
      <dgm:spPr/>
      <dgm:t>
        <a:bodyPr/>
        <a:lstStyle/>
        <a:p>
          <a:endParaRPr lang="en-AU"/>
        </a:p>
      </dgm:t>
    </dgm:pt>
    <dgm:pt modelId="{A0D31FA7-961A-4029-8398-C8D698C2DD46}" type="pres">
      <dgm:prSet presAssocID="{F8DD8A6D-E45C-41C7-8FF8-81C54CD6C4F3}" presName="space" presStyleCnt="0"/>
      <dgm:spPr/>
    </dgm:pt>
    <dgm:pt modelId="{BD00597F-84E1-416C-A614-1B37BE1CC78F}" type="pres">
      <dgm:prSet presAssocID="{6EA64EF0-00CC-4C1D-94A1-398AF7D9DA21}" presName="composite" presStyleCnt="0"/>
      <dgm:spPr/>
    </dgm:pt>
    <dgm:pt modelId="{8BADE1ED-9E62-49D6-8C35-4C614B689618}" type="pres">
      <dgm:prSet presAssocID="{6EA64EF0-00CC-4C1D-94A1-398AF7D9DA21}" presName="parTx" presStyleLbl="alignNode1" presStyleIdx="1" presStyleCnt="3" custLinFactNeighborX="-1" custLinFactNeighborY="23008">
        <dgm:presLayoutVars>
          <dgm:chMax val="0"/>
          <dgm:chPref val="0"/>
          <dgm:bulletEnabled val="1"/>
        </dgm:presLayoutVars>
      </dgm:prSet>
      <dgm:spPr/>
      <dgm:t>
        <a:bodyPr/>
        <a:lstStyle/>
        <a:p>
          <a:endParaRPr lang="en-AU"/>
        </a:p>
      </dgm:t>
    </dgm:pt>
    <dgm:pt modelId="{3DC64F4C-51FE-43E3-8AFF-2C261B04D0A7}" type="pres">
      <dgm:prSet presAssocID="{6EA64EF0-00CC-4C1D-94A1-398AF7D9DA21}" presName="desTx" presStyleLbl="alignAccFollowNode1" presStyleIdx="1" presStyleCnt="3" custScaleY="50589" custLinFactNeighborX="-569" custLinFactNeighborY="-13095">
        <dgm:presLayoutVars>
          <dgm:bulletEnabled val="1"/>
        </dgm:presLayoutVars>
      </dgm:prSet>
      <dgm:spPr/>
      <dgm:t>
        <a:bodyPr/>
        <a:lstStyle/>
        <a:p>
          <a:endParaRPr lang="en-US"/>
        </a:p>
      </dgm:t>
    </dgm:pt>
    <dgm:pt modelId="{C635D293-6A3A-46B4-84C4-515469999818}" type="pres">
      <dgm:prSet presAssocID="{CA5DB575-A05D-40EC-A56B-7B006D4685ED}" presName="space" presStyleCnt="0"/>
      <dgm:spPr/>
    </dgm:pt>
    <dgm:pt modelId="{C03B75E1-0C37-4D01-9623-DE337DB6055C}" type="pres">
      <dgm:prSet presAssocID="{6BD4FAEA-7E7B-4499-9335-1E1D7F05F66E}" presName="composite" presStyleCnt="0"/>
      <dgm:spPr/>
    </dgm:pt>
    <dgm:pt modelId="{C6D8C738-4CF5-4ACF-8C43-4B446A090649}" type="pres">
      <dgm:prSet presAssocID="{6BD4FAEA-7E7B-4499-9335-1E1D7F05F66E}" presName="parTx" presStyleLbl="alignNode1" presStyleIdx="2" presStyleCnt="3" custLinFactNeighborX="103" custLinFactNeighborY="76212">
        <dgm:presLayoutVars>
          <dgm:chMax val="0"/>
          <dgm:chPref val="0"/>
          <dgm:bulletEnabled val="1"/>
        </dgm:presLayoutVars>
      </dgm:prSet>
      <dgm:spPr/>
      <dgm:t>
        <a:bodyPr/>
        <a:lstStyle/>
        <a:p>
          <a:endParaRPr lang="en-US"/>
        </a:p>
      </dgm:t>
    </dgm:pt>
    <dgm:pt modelId="{5FD5B5B2-144E-45A1-9932-C811134AD7A1}" type="pres">
      <dgm:prSet presAssocID="{6BD4FAEA-7E7B-4499-9335-1E1D7F05F66E}" presName="desTx" presStyleLbl="alignAccFollowNode1" presStyleIdx="2" presStyleCnt="3" custScaleY="32940" custLinFactNeighborX="103" custLinFactNeighborY="-1138">
        <dgm:presLayoutVars>
          <dgm:bulletEnabled val="1"/>
        </dgm:presLayoutVars>
      </dgm:prSet>
      <dgm:spPr/>
      <dgm:t>
        <a:bodyPr/>
        <a:lstStyle/>
        <a:p>
          <a:endParaRPr lang="en-AU"/>
        </a:p>
      </dgm:t>
    </dgm:pt>
  </dgm:ptLst>
  <dgm:cxnLst>
    <dgm:cxn modelId="{8A8324B5-9106-48F1-9B00-954FD8F43FB4}" srcId="{647872F7-D1FE-4662-ACD4-AF3F261D7B44}" destId="{1F3D9D76-DC7B-428C-BDC9-26A90E0BD4CD}" srcOrd="1" destOrd="0" parTransId="{C5E3440C-0115-4D3B-8D46-D22F45AA3396}" sibTransId="{6EF844F6-4DFA-4C73-B3BC-67210AABFC1F}"/>
    <dgm:cxn modelId="{DC77CF7B-6EA3-40A8-8603-1C0DC180C2C0}" type="presOf" srcId="{647872F7-D1FE-4662-ACD4-AF3F261D7B44}" destId="{77F76DF9-69DA-443C-BEDC-6C0367A0CDB7}" srcOrd="0" destOrd="0" presId="urn:microsoft.com/office/officeart/2005/8/layout/hList1"/>
    <dgm:cxn modelId="{6F06B36A-6252-4A78-80D6-093B95A48CC1}" type="presOf" srcId="{E5BED06F-C836-4DF7-824E-B860502FAB8A}" destId="{5FD5B5B2-144E-45A1-9932-C811134AD7A1}" srcOrd="0" destOrd="0" presId="urn:microsoft.com/office/officeart/2005/8/layout/hList1"/>
    <dgm:cxn modelId="{873C709D-28B8-466F-BAA5-0DDC44FDCA15}" type="presOf" srcId="{6BD4FAEA-7E7B-4499-9335-1E1D7F05F66E}" destId="{C6D8C738-4CF5-4ACF-8C43-4B446A090649}" srcOrd="0" destOrd="0" presId="urn:microsoft.com/office/officeart/2005/8/layout/hList1"/>
    <dgm:cxn modelId="{71DC04E9-DE45-43EF-A33C-2F695EABA7E6}" srcId="{647872F7-D1FE-4662-ACD4-AF3F261D7B44}" destId="{E1DAE1E9-9477-4568-865C-0D87099E77DF}" srcOrd="0" destOrd="0" parTransId="{5B9BB8DC-3FD7-4165-BCA8-28B2D3165023}" sibTransId="{C4DC5A95-88FE-450B-B30B-B57C07989E3C}"/>
    <dgm:cxn modelId="{498435AE-9C0A-48B9-A39F-F1F0E009BE4D}" srcId="{6EA64EF0-00CC-4C1D-94A1-398AF7D9DA21}" destId="{8859BF87-6039-4BCF-8489-1C6AF929CECB}" srcOrd="1" destOrd="0" parTransId="{03402D5F-CC26-43F8-87E1-9B7B919C39BA}" sibTransId="{51FE91EB-CE4A-438D-98CF-331B4B99F2E7}"/>
    <dgm:cxn modelId="{0C693805-582A-452E-9F47-09B46C86D3BD}" srcId="{5A9B9BFD-AE37-4554-8B6E-C99538A00A02}" destId="{6EA64EF0-00CC-4C1D-94A1-398AF7D9DA21}" srcOrd="1" destOrd="0" parTransId="{12C532AC-727E-4B60-8CE1-971AFCBEC766}" sibTransId="{CA5DB575-A05D-40EC-A56B-7B006D4685ED}"/>
    <dgm:cxn modelId="{22D9C3D9-99B0-4E58-B83C-F5E363055A47}" type="presOf" srcId="{E1DAE1E9-9477-4568-865C-0D87099E77DF}" destId="{0E0BFD9D-DB30-436C-A9B2-D904C81ECBF5}" srcOrd="0" destOrd="0" presId="urn:microsoft.com/office/officeart/2005/8/layout/hList1"/>
    <dgm:cxn modelId="{0502F1F2-9542-46FD-9059-D646ADBE7F34}" type="presOf" srcId="{21AFEC2A-C37D-48B4-8EC9-7A043977E902}" destId="{0E0BFD9D-DB30-436C-A9B2-D904C81ECBF5}" srcOrd="0" destOrd="4" presId="urn:microsoft.com/office/officeart/2005/8/layout/hList1"/>
    <dgm:cxn modelId="{69B69A0F-3B02-477A-AF13-FDFA875DB538}" type="presOf" srcId="{1F3D9D76-DC7B-428C-BDC9-26A90E0BD4CD}" destId="{0E0BFD9D-DB30-436C-A9B2-D904C81ECBF5}" srcOrd="0" destOrd="1" presId="urn:microsoft.com/office/officeart/2005/8/layout/hList1"/>
    <dgm:cxn modelId="{25EC3DD9-58C2-4E1C-9B4D-AC0FAFBEBF61}" type="presOf" srcId="{BC3CBF1A-2644-4F99-86BF-ED395E4E96EC}" destId="{0E0BFD9D-DB30-436C-A9B2-D904C81ECBF5}" srcOrd="0" destOrd="2" presId="urn:microsoft.com/office/officeart/2005/8/layout/hList1"/>
    <dgm:cxn modelId="{28A3C01D-34C9-4806-B673-10CBAE4A56D6}" srcId="{647872F7-D1FE-4662-ACD4-AF3F261D7B44}" destId="{BC3CBF1A-2644-4F99-86BF-ED395E4E96EC}" srcOrd="2" destOrd="0" parTransId="{FAFD11B1-5C19-4F9D-AB82-8EABE75688AE}" sibTransId="{5C2156C1-2BB1-45A8-88AD-596F44390595}"/>
    <dgm:cxn modelId="{3D38AEC2-90B5-4623-AD45-11CB9ABC2EC2}" srcId="{6BD4FAEA-7E7B-4499-9335-1E1D7F05F66E}" destId="{E5BED06F-C836-4DF7-824E-B860502FAB8A}" srcOrd="0" destOrd="0" parTransId="{8A649620-A4A0-469A-9A02-971B13ECE7A2}" sibTransId="{628D522B-E9CB-406B-B046-9A647A8BF93B}"/>
    <dgm:cxn modelId="{CC3A21CB-EF9E-425C-AFFA-1BC62CC171EE}" srcId="{6EA64EF0-00CC-4C1D-94A1-398AF7D9DA21}" destId="{6878B37E-C243-4467-A05A-B28F259D81F6}" srcOrd="0" destOrd="0" parTransId="{DF805058-E167-4E24-A528-9F0EAD6E2925}" sibTransId="{82983282-10DF-4623-ABF9-D7157D0E26B6}"/>
    <dgm:cxn modelId="{E0B2945E-9178-486B-82D9-74C949A840F9}" type="presOf" srcId="{6EA64EF0-00CC-4C1D-94A1-398AF7D9DA21}" destId="{8BADE1ED-9E62-49D6-8C35-4C614B689618}" srcOrd="0" destOrd="0" presId="urn:microsoft.com/office/officeart/2005/8/layout/hList1"/>
    <dgm:cxn modelId="{BAEBED36-C762-4E4D-8210-2A3F84C60295}" srcId="{647872F7-D1FE-4662-ACD4-AF3F261D7B44}" destId="{21AFEC2A-C37D-48B4-8EC9-7A043977E902}" srcOrd="4" destOrd="0" parTransId="{2355980B-9138-4D6F-B274-BA10BB755FDD}" sibTransId="{63BCC19A-4409-4F0A-B67F-0100FCD56EA2}"/>
    <dgm:cxn modelId="{7A09667D-0C80-4A96-9C8D-631C9E32014C}" type="presOf" srcId="{6878B37E-C243-4467-A05A-B28F259D81F6}" destId="{3DC64F4C-51FE-43E3-8AFF-2C261B04D0A7}" srcOrd="0" destOrd="0" presId="urn:microsoft.com/office/officeart/2005/8/layout/hList1"/>
    <dgm:cxn modelId="{91B6F18A-15CC-4A37-8450-769E04037CFE}" type="presOf" srcId="{8859BF87-6039-4BCF-8489-1C6AF929CECB}" destId="{3DC64F4C-51FE-43E3-8AFF-2C261B04D0A7}" srcOrd="0" destOrd="1" presId="urn:microsoft.com/office/officeart/2005/8/layout/hList1"/>
    <dgm:cxn modelId="{04EF527A-0E2E-4F45-A626-89526DED8DEE}" srcId="{5A9B9BFD-AE37-4554-8B6E-C99538A00A02}" destId="{6BD4FAEA-7E7B-4499-9335-1E1D7F05F66E}" srcOrd="2" destOrd="0" parTransId="{70FB1E29-ABE6-450E-A0D1-F8359D580E29}" sibTransId="{582DAABB-494F-4987-9767-D069C27F878A}"/>
    <dgm:cxn modelId="{3ABC1A38-335B-4DBB-8341-D4E1F0B320C3}" srcId="{5A9B9BFD-AE37-4554-8B6E-C99538A00A02}" destId="{647872F7-D1FE-4662-ACD4-AF3F261D7B44}" srcOrd="0" destOrd="0" parTransId="{6D3E369D-C2B1-4726-901C-0D292255F2FF}" sibTransId="{F8DD8A6D-E45C-41C7-8FF8-81C54CD6C4F3}"/>
    <dgm:cxn modelId="{65AF1F2C-F877-49E0-9B8D-A42F5F3F5D5F}" type="presOf" srcId="{77043BDE-ADEC-4D73-B747-F283EACEB44C}" destId="{0E0BFD9D-DB30-436C-A9B2-D904C81ECBF5}" srcOrd="0" destOrd="3" presId="urn:microsoft.com/office/officeart/2005/8/layout/hList1"/>
    <dgm:cxn modelId="{7D79AB9F-9152-4415-A4D3-E63CBD9D4AF7}" srcId="{647872F7-D1FE-4662-ACD4-AF3F261D7B44}" destId="{77043BDE-ADEC-4D73-B747-F283EACEB44C}" srcOrd="3" destOrd="0" parTransId="{6CB8FD06-86CB-4E77-B129-20C48AD908BF}" sibTransId="{6126B6E9-B141-4C96-B0FD-F668FD6D407D}"/>
    <dgm:cxn modelId="{F215E765-7E37-4C75-988F-809891059B44}" type="presOf" srcId="{5A9B9BFD-AE37-4554-8B6E-C99538A00A02}" destId="{739A8334-0CB7-40A3-92FA-6AC1524A07F5}" srcOrd="0" destOrd="0" presId="urn:microsoft.com/office/officeart/2005/8/layout/hList1"/>
    <dgm:cxn modelId="{5562CD2D-7D27-4283-B0A4-F899688D08F6}" type="presParOf" srcId="{739A8334-0CB7-40A3-92FA-6AC1524A07F5}" destId="{1DB4E24D-1684-4216-A517-04CC1FDE3F4A}" srcOrd="0" destOrd="0" presId="urn:microsoft.com/office/officeart/2005/8/layout/hList1"/>
    <dgm:cxn modelId="{C86FB25B-9365-407F-B8BF-DF5751DA78C9}" type="presParOf" srcId="{1DB4E24D-1684-4216-A517-04CC1FDE3F4A}" destId="{77F76DF9-69DA-443C-BEDC-6C0367A0CDB7}" srcOrd="0" destOrd="0" presId="urn:microsoft.com/office/officeart/2005/8/layout/hList1"/>
    <dgm:cxn modelId="{32BC42B0-82A0-4556-84D2-3958AC0E5D60}" type="presParOf" srcId="{1DB4E24D-1684-4216-A517-04CC1FDE3F4A}" destId="{0E0BFD9D-DB30-436C-A9B2-D904C81ECBF5}" srcOrd="1" destOrd="0" presId="urn:microsoft.com/office/officeart/2005/8/layout/hList1"/>
    <dgm:cxn modelId="{E8C0C386-4CD4-4975-9DCB-32B8B4A13C01}" type="presParOf" srcId="{739A8334-0CB7-40A3-92FA-6AC1524A07F5}" destId="{A0D31FA7-961A-4029-8398-C8D698C2DD46}" srcOrd="1" destOrd="0" presId="urn:microsoft.com/office/officeart/2005/8/layout/hList1"/>
    <dgm:cxn modelId="{66C96F4F-205B-4029-9C17-240B3075074F}" type="presParOf" srcId="{739A8334-0CB7-40A3-92FA-6AC1524A07F5}" destId="{BD00597F-84E1-416C-A614-1B37BE1CC78F}" srcOrd="2" destOrd="0" presId="urn:microsoft.com/office/officeart/2005/8/layout/hList1"/>
    <dgm:cxn modelId="{DFBC8DBF-3B20-4614-95AF-59E175B1ACBA}" type="presParOf" srcId="{BD00597F-84E1-416C-A614-1B37BE1CC78F}" destId="{8BADE1ED-9E62-49D6-8C35-4C614B689618}" srcOrd="0" destOrd="0" presId="urn:microsoft.com/office/officeart/2005/8/layout/hList1"/>
    <dgm:cxn modelId="{376305D9-5805-47FA-93B3-95AA2015E281}" type="presParOf" srcId="{BD00597F-84E1-416C-A614-1B37BE1CC78F}" destId="{3DC64F4C-51FE-43E3-8AFF-2C261B04D0A7}" srcOrd="1" destOrd="0" presId="urn:microsoft.com/office/officeart/2005/8/layout/hList1"/>
    <dgm:cxn modelId="{DA828A34-BF05-40A5-AADE-162ED05C9502}" type="presParOf" srcId="{739A8334-0CB7-40A3-92FA-6AC1524A07F5}" destId="{C635D293-6A3A-46B4-84C4-515469999818}" srcOrd="3" destOrd="0" presId="urn:microsoft.com/office/officeart/2005/8/layout/hList1"/>
    <dgm:cxn modelId="{E26AAE9F-E9EC-45AC-B532-F7E593D1E154}" type="presParOf" srcId="{739A8334-0CB7-40A3-92FA-6AC1524A07F5}" destId="{C03B75E1-0C37-4D01-9623-DE337DB6055C}" srcOrd="4" destOrd="0" presId="urn:microsoft.com/office/officeart/2005/8/layout/hList1"/>
    <dgm:cxn modelId="{023B2AC9-5B39-47F7-BDEE-E4D243A618EA}" type="presParOf" srcId="{C03B75E1-0C37-4D01-9623-DE337DB6055C}" destId="{C6D8C738-4CF5-4ACF-8C43-4B446A090649}" srcOrd="0" destOrd="0" presId="urn:microsoft.com/office/officeart/2005/8/layout/hList1"/>
    <dgm:cxn modelId="{898F62F8-1F3C-4D1A-AA2C-DE7DA1AF9A72}" type="presParOf" srcId="{C03B75E1-0C37-4D01-9623-DE337DB6055C}" destId="{5FD5B5B2-144E-45A1-9932-C811134AD7A1}"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F76DF9-69DA-443C-BEDC-6C0367A0CDB7}">
      <dsp:nvSpPr>
        <dsp:cNvPr id="0" name=""/>
        <dsp:cNvSpPr/>
      </dsp:nvSpPr>
      <dsp:spPr>
        <a:xfrm>
          <a:off x="1629" y="261949"/>
          <a:ext cx="1588723" cy="6336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a:lnSpc>
              <a:spcPct val="90000"/>
            </a:lnSpc>
            <a:spcBef>
              <a:spcPct val="0"/>
            </a:spcBef>
            <a:spcAft>
              <a:spcPct val="35000"/>
            </a:spcAft>
          </a:pPr>
          <a:r>
            <a:rPr lang="en-AU" sz="2200" kern="1200"/>
            <a:t>Supply</a:t>
          </a:r>
        </a:p>
      </dsp:txBody>
      <dsp:txXfrm>
        <a:off x="1629" y="261949"/>
        <a:ext cx="1588723" cy="633600"/>
      </dsp:txXfrm>
    </dsp:sp>
    <dsp:sp modelId="{0E0BFD9D-DB30-436C-A9B2-D904C81ECBF5}">
      <dsp:nvSpPr>
        <dsp:cNvPr id="0" name=""/>
        <dsp:cNvSpPr/>
      </dsp:nvSpPr>
      <dsp:spPr>
        <a:xfrm>
          <a:off x="1629" y="898534"/>
          <a:ext cx="1588723" cy="168495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en-AU" sz="1800" kern="1200"/>
            <a:t>School</a:t>
          </a:r>
        </a:p>
        <a:p>
          <a:pPr marL="171450" lvl="1" indent="-171450" algn="l" defTabSz="800100">
            <a:lnSpc>
              <a:spcPct val="90000"/>
            </a:lnSpc>
            <a:spcBef>
              <a:spcPct val="0"/>
            </a:spcBef>
            <a:spcAft>
              <a:spcPct val="15000"/>
            </a:spcAft>
            <a:buChar char="••"/>
          </a:pPr>
          <a:r>
            <a:rPr lang="en-AU" sz="1800" kern="1200"/>
            <a:t>Unemployed </a:t>
          </a:r>
        </a:p>
        <a:p>
          <a:pPr marL="171450" lvl="1" indent="-171450" algn="l" defTabSz="800100">
            <a:lnSpc>
              <a:spcPct val="90000"/>
            </a:lnSpc>
            <a:spcBef>
              <a:spcPct val="0"/>
            </a:spcBef>
            <a:spcAft>
              <a:spcPct val="15000"/>
            </a:spcAft>
            <a:buChar char="••"/>
          </a:pPr>
          <a:r>
            <a:rPr lang="en-AU" sz="1800" kern="1200"/>
            <a:t>Indigenous</a:t>
          </a:r>
        </a:p>
        <a:p>
          <a:pPr marL="171450" lvl="1" indent="-171450" algn="l" defTabSz="800100">
            <a:lnSpc>
              <a:spcPct val="90000"/>
            </a:lnSpc>
            <a:spcBef>
              <a:spcPct val="0"/>
            </a:spcBef>
            <a:spcAft>
              <a:spcPct val="15000"/>
            </a:spcAft>
            <a:buChar char="••"/>
          </a:pPr>
          <a:r>
            <a:rPr lang="en-AU" sz="1800" kern="1200"/>
            <a:t>Adult </a:t>
          </a:r>
        </a:p>
        <a:p>
          <a:pPr marL="171450" lvl="1" indent="-171450" algn="l" defTabSz="800100">
            <a:lnSpc>
              <a:spcPct val="90000"/>
            </a:lnSpc>
            <a:spcBef>
              <a:spcPct val="0"/>
            </a:spcBef>
            <a:spcAft>
              <a:spcPct val="15000"/>
            </a:spcAft>
            <a:buChar char="••"/>
          </a:pPr>
          <a:r>
            <a:rPr lang="en-AU" sz="1800" kern="1200"/>
            <a:t>Disability </a:t>
          </a:r>
        </a:p>
      </dsp:txBody>
      <dsp:txXfrm>
        <a:off x="1629" y="898534"/>
        <a:ext cx="1588723" cy="1684951"/>
      </dsp:txXfrm>
    </dsp:sp>
    <dsp:sp modelId="{8BADE1ED-9E62-49D6-8C35-4C614B689618}">
      <dsp:nvSpPr>
        <dsp:cNvPr id="0" name=""/>
        <dsp:cNvSpPr/>
      </dsp:nvSpPr>
      <dsp:spPr>
        <a:xfrm>
          <a:off x="1812758" y="615111"/>
          <a:ext cx="1588723" cy="6336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a:lnSpc>
              <a:spcPct val="90000"/>
            </a:lnSpc>
            <a:spcBef>
              <a:spcPct val="0"/>
            </a:spcBef>
            <a:spcAft>
              <a:spcPct val="35000"/>
            </a:spcAft>
          </a:pPr>
          <a:r>
            <a:rPr lang="en-AU" sz="2200" kern="1200"/>
            <a:t>Conversion</a:t>
          </a:r>
        </a:p>
      </dsp:txBody>
      <dsp:txXfrm>
        <a:off x="1812758" y="615111"/>
        <a:ext cx="1588723" cy="633600"/>
      </dsp:txXfrm>
    </dsp:sp>
    <dsp:sp modelId="{3DC64F4C-51FE-43E3-8AFF-2C261B04D0A7}">
      <dsp:nvSpPr>
        <dsp:cNvPr id="0" name=""/>
        <dsp:cNvSpPr/>
      </dsp:nvSpPr>
      <dsp:spPr>
        <a:xfrm>
          <a:off x="1803734" y="1299256"/>
          <a:ext cx="1588723" cy="85541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en-AU" sz="1800" kern="1200"/>
            <a:t>TAFE </a:t>
          </a:r>
        </a:p>
        <a:p>
          <a:pPr marL="171450" lvl="1" indent="-171450" algn="l" defTabSz="800100">
            <a:lnSpc>
              <a:spcPct val="90000"/>
            </a:lnSpc>
            <a:spcBef>
              <a:spcPct val="0"/>
            </a:spcBef>
            <a:spcAft>
              <a:spcPct val="15000"/>
            </a:spcAft>
            <a:buChar char="••"/>
          </a:pPr>
          <a:r>
            <a:rPr lang="en-AU" sz="1800" kern="1200"/>
            <a:t>RTOs            </a:t>
          </a:r>
        </a:p>
      </dsp:txBody>
      <dsp:txXfrm>
        <a:off x="1803734" y="1299256"/>
        <a:ext cx="1588723" cy="855419"/>
      </dsp:txXfrm>
    </dsp:sp>
    <dsp:sp modelId="{C6D8C738-4CF5-4ACF-8C43-4B446A090649}">
      <dsp:nvSpPr>
        <dsp:cNvPr id="0" name=""/>
        <dsp:cNvSpPr/>
      </dsp:nvSpPr>
      <dsp:spPr>
        <a:xfrm>
          <a:off x="3625547" y="1026819"/>
          <a:ext cx="1588723" cy="6336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a:lnSpc>
              <a:spcPct val="90000"/>
            </a:lnSpc>
            <a:spcBef>
              <a:spcPct val="0"/>
            </a:spcBef>
            <a:spcAft>
              <a:spcPct val="35000"/>
            </a:spcAft>
          </a:pPr>
          <a:r>
            <a:rPr lang="en-AU" sz="2200" kern="1200"/>
            <a:t>Demand</a:t>
          </a:r>
        </a:p>
      </dsp:txBody>
      <dsp:txXfrm>
        <a:off x="3625547" y="1026819"/>
        <a:ext cx="1588723" cy="633600"/>
      </dsp:txXfrm>
    </dsp:sp>
    <dsp:sp modelId="{5FD5B5B2-144E-45A1-9932-C811134AD7A1}">
      <dsp:nvSpPr>
        <dsp:cNvPr id="0" name=""/>
        <dsp:cNvSpPr/>
      </dsp:nvSpPr>
      <dsp:spPr>
        <a:xfrm>
          <a:off x="3625547" y="1725263"/>
          <a:ext cx="1588723" cy="55698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en-AU" sz="1800" kern="1200"/>
            <a:t>Employers</a:t>
          </a:r>
        </a:p>
      </dsp:txBody>
      <dsp:txXfrm>
        <a:off x="3625547" y="1725263"/>
        <a:ext cx="1588723" cy="55698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bob</cp:lastModifiedBy>
  <cp:revision>2</cp:revision>
  <cp:lastPrinted>2012-04-04T04:30:00Z</cp:lastPrinted>
  <dcterms:created xsi:type="dcterms:W3CDTF">2012-04-05T00:39:00Z</dcterms:created>
  <dcterms:modified xsi:type="dcterms:W3CDTF">2012-04-05T00:39:00Z</dcterms:modified>
</cp:coreProperties>
</file>